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39D" w:rsidRPr="006E6A15" w:rsidRDefault="003A60E4" w:rsidP="006E6A15">
      <w:pPr>
        <w:spacing w:after="480"/>
        <w:ind w:left="-1304"/>
        <w:jc w:val="right"/>
        <w:rPr>
          <w:rFonts w:eastAsia="Calibri" w:cs="Arial"/>
          <w:sz w:val="22"/>
          <w:szCs w:val="22"/>
          <w:lang w:eastAsia="en-US"/>
        </w:rPr>
      </w:pPr>
      <w:bookmarkStart w:id="0" w:name="_GoBack"/>
      <w:bookmarkEnd w:id="0"/>
      <w:r w:rsidRPr="006E6A15">
        <w:rPr>
          <w:rFonts w:eastAsia="Calibri" w:cs="Arial"/>
          <w:sz w:val="22"/>
          <w:szCs w:val="22"/>
          <w:lang w:eastAsia="en-US"/>
        </w:rPr>
        <w:t>C</w:t>
      </w:r>
      <w:r w:rsidR="00006B4A" w:rsidRPr="006E6A15">
        <w:rPr>
          <w:rFonts w:eastAsia="Calibri" w:cs="Arial"/>
          <w:sz w:val="22"/>
          <w:szCs w:val="22"/>
          <w:lang w:eastAsia="en-US"/>
        </w:rPr>
        <w:t>hascomús,</w:t>
      </w:r>
      <w:r w:rsidR="006E6A15">
        <w:rPr>
          <w:rFonts w:eastAsia="Calibri" w:cs="Arial"/>
          <w:sz w:val="22"/>
          <w:szCs w:val="22"/>
          <w:lang w:eastAsia="en-US"/>
        </w:rPr>
        <w:t xml:space="preserve"> </w:t>
      </w:r>
      <w:r w:rsidR="00E10A4D">
        <w:rPr>
          <w:rFonts w:eastAsia="Calibri" w:cs="Arial"/>
          <w:sz w:val="22"/>
          <w:szCs w:val="22"/>
          <w:lang w:eastAsia="en-US"/>
        </w:rPr>
        <w:t>7</w:t>
      </w:r>
      <w:r w:rsidR="006E6A15">
        <w:rPr>
          <w:rFonts w:eastAsia="Calibri" w:cs="Arial"/>
          <w:sz w:val="22"/>
          <w:szCs w:val="22"/>
          <w:lang w:eastAsia="en-US"/>
        </w:rPr>
        <w:t xml:space="preserve"> </w:t>
      </w:r>
      <w:r w:rsidR="00006B4A" w:rsidRPr="006E6A15">
        <w:rPr>
          <w:rFonts w:eastAsia="Calibri" w:cs="Arial"/>
          <w:sz w:val="22"/>
          <w:szCs w:val="22"/>
          <w:lang w:eastAsia="en-US"/>
        </w:rPr>
        <w:t>de</w:t>
      </w:r>
      <w:r w:rsidR="006E6A15">
        <w:rPr>
          <w:rFonts w:eastAsia="Calibri" w:cs="Arial"/>
          <w:sz w:val="22"/>
          <w:szCs w:val="22"/>
          <w:lang w:eastAsia="en-US"/>
        </w:rPr>
        <w:t xml:space="preserve"> Octubre</w:t>
      </w:r>
      <w:r w:rsidR="00006B4A" w:rsidRPr="006E6A15">
        <w:rPr>
          <w:rFonts w:eastAsia="Calibri" w:cs="Arial"/>
          <w:sz w:val="22"/>
          <w:szCs w:val="22"/>
          <w:lang w:eastAsia="en-US"/>
        </w:rPr>
        <w:t xml:space="preserve"> de 2025</w:t>
      </w:r>
    </w:p>
    <w:p w:rsidR="005B0F92" w:rsidRPr="006E6A15" w:rsidRDefault="008F0B9A" w:rsidP="006E6A15">
      <w:pPr>
        <w:spacing w:line="360" w:lineRule="auto"/>
        <w:jc w:val="both"/>
        <w:rPr>
          <w:rFonts w:cs="Arial"/>
          <w:b/>
          <w:sz w:val="22"/>
          <w:szCs w:val="22"/>
          <w:u w:val="single"/>
          <w:lang w:val="es-ES_tradnl" w:eastAsia="es-ES_tradnl"/>
        </w:rPr>
      </w:pPr>
      <w:r w:rsidRPr="006E6A15">
        <w:rPr>
          <w:rFonts w:cs="Arial"/>
          <w:b/>
          <w:sz w:val="22"/>
          <w:szCs w:val="22"/>
          <w:u w:val="single"/>
          <w:lang w:val="es-ES_tradnl" w:eastAsia="es-ES_tradnl"/>
        </w:rPr>
        <w:t>VISTO</w:t>
      </w:r>
      <w:r w:rsidR="002A639D" w:rsidRPr="006E6A15">
        <w:rPr>
          <w:rFonts w:cs="Arial"/>
          <w:b/>
          <w:sz w:val="22"/>
          <w:szCs w:val="22"/>
          <w:u w:val="single"/>
          <w:lang w:val="es-ES_tradnl" w:eastAsia="es-ES_tradnl"/>
        </w:rPr>
        <w:t>:</w:t>
      </w:r>
    </w:p>
    <w:p w:rsidR="008B72D3" w:rsidRPr="006E6A15" w:rsidRDefault="003E6C41" w:rsidP="006E6A15">
      <w:pPr>
        <w:autoSpaceDE w:val="0"/>
        <w:autoSpaceDN w:val="0"/>
        <w:adjustRightInd w:val="0"/>
        <w:spacing w:after="150" w:line="360" w:lineRule="auto"/>
        <w:ind w:firstLine="851"/>
        <w:jc w:val="both"/>
        <w:rPr>
          <w:rFonts w:eastAsiaTheme="minorHAnsi" w:cs="Arial"/>
          <w:sz w:val="22"/>
          <w:szCs w:val="22"/>
          <w:lang w:val="es-AR" w:eastAsia="en-US"/>
        </w:rPr>
      </w:pPr>
      <w:r w:rsidRPr="006E6A15">
        <w:rPr>
          <w:rFonts w:eastAsiaTheme="minorHAnsi" w:cs="Arial"/>
          <w:sz w:val="22"/>
          <w:szCs w:val="22"/>
          <w:lang w:val="es-AR" w:eastAsia="en-US"/>
        </w:rPr>
        <w:t xml:space="preserve">El </w:t>
      </w:r>
      <w:r w:rsidR="00006B4A" w:rsidRPr="006E6A15">
        <w:rPr>
          <w:rFonts w:eastAsiaTheme="minorHAnsi" w:cs="Arial"/>
          <w:sz w:val="22"/>
          <w:szCs w:val="22"/>
          <w:lang w:val="es-AR" w:eastAsia="en-US"/>
        </w:rPr>
        <w:t>E</w:t>
      </w:r>
      <w:r w:rsidRPr="006E6A15">
        <w:rPr>
          <w:rFonts w:eastAsiaTheme="minorHAnsi" w:cs="Arial"/>
          <w:sz w:val="22"/>
          <w:szCs w:val="22"/>
          <w:lang w:val="es-AR" w:eastAsia="en-US"/>
        </w:rPr>
        <w:t>xpediente FMP Nº 12526/2020, de trámite por ante el Juzgado Federal Dolores, l</w:t>
      </w:r>
      <w:r w:rsidR="00096A7D" w:rsidRPr="006E6A15">
        <w:rPr>
          <w:rFonts w:eastAsiaTheme="minorHAnsi" w:cs="Arial"/>
          <w:sz w:val="22"/>
          <w:szCs w:val="22"/>
          <w:lang w:val="es-AR" w:eastAsia="en-US"/>
        </w:rPr>
        <w:t>a Ordenanza 4030, modificada por Ordenanza 4561 y convalidada por Decreto Provincial N° 270 del año 2014 –Plan de Desarrollo Territorial de Chascomús-</w:t>
      </w:r>
      <w:r w:rsidR="00210EDD" w:rsidRPr="006E6A15">
        <w:rPr>
          <w:rFonts w:eastAsiaTheme="minorHAnsi" w:cs="Arial"/>
          <w:sz w:val="22"/>
          <w:szCs w:val="22"/>
          <w:lang w:val="es-AR" w:eastAsia="en-US"/>
        </w:rPr>
        <w:t xml:space="preserve">, el Decreto Ley </w:t>
      </w:r>
      <w:r w:rsidR="00096A7D" w:rsidRPr="006E6A15">
        <w:rPr>
          <w:rFonts w:eastAsiaTheme="minorHAnsi" w:cs="Arial"/>
          <w:sz w:val="22"/>
          <w:szCs w:val="22"/>
          <w:lang w:val="es-AR" w:eastAsia="en-US"/>
        </w:rPr>
        <w:t xml:space="preserve">Nº </w:t>
      </w:r>
      <w:r w:rsidR="00210EDD" w:rsidRPr="006E6A15">
        <w:rPr>
          <w:rFonts w:eastAsiaTheme="minorHAnsi" w:cs="Arial"/>
          <w:sz w:val="22"/>
          <w:szCs w:val="22"/>
          <w:lang w:val="es-AR" w:eastAsia="en-US"/>
        </w:rPr>
        <w:t xml:space="preserve">8912/77 y la Ordenanza Reglamentaria </w:t>
      </w:r>
      <w:r w:rsidR="00C64360" w:rsidRPr="006E6A15">
        <w:rPr>
          <w:rFonts w:eastAsiaTheme="minorHAnsi" w:cs="Arial"/>
          <w:sz w:val="22"/>
          <w:szCs w:val="22"/>
          <w:lang w:val="es-AR" w:eastAsia="en-US"/>
        </w:rPr>
        <w:t>de la construcciones y subdivisiones en el partido de Chascomús</w:t>
      </w:r>
      <w:r w:rsidR="00210EDD" w:rsidRPr="006E6A15">
        <w:rPr>
          <w:rFonts w:eastAsiaTheme="minorHAnsi" w:cs="Arial"/>
          <w:sz w:val="22"/>
          <w:szCs w:val="22"/>
          <w:lang w:val="es-AR" w:eastAsia="en-US"/>
        </w:rPr>
        <w:t xml:space="preserve"> del año 1954</w:t>
      </w:r>
      <w:r w:rsidR="008B72D3" w:rsidRPr="006E6A15">
        <w:rPr>
          <w:rFonts w:eastAsiaTheme="minorHAnsi" w:cs="Arial"/>
          <w:sz w:val="22"/>
          <w:szCs w:val="22"/>
          <w:lang w:val="es-AR" w:eastAsia="en-US"/>
        </w:rPr>
        <w:t>; y</w:t>
      </w:r>
    </w:p>
    <w:p w:rsidR="00006B4A" w:rsidRPr="006E6A15" w:rsidRDefault="008B72D3" w:rsidP="006E6A15">
      <w:pPr>
        <w:spacing w:line="360" w:lineRule="auto"/>
        <w:jc w:val="both"/>
        <w:rPr>
          <w:rFonts w:cs="Arial"/>
          <w:b/>
          <w:sz w:val="22"/>
          <w:szCs w:val="22"/>
          <w:u w:val="single"/>
          <w:lang w:val="es-ES_tradnl" w:eastAsia="es-ES_tradnl"/>
        </w:rPr>
      </w:pPr>
      <w:r w:rsidRPr="006E6A15">
        <w:rPr>
          <w:rFonts w:cs="Arial"/>
          <w:b/>
          <w:sz w:val="22"/>
          <w:szCs w:val="22"/>
          <w:u w:val="single"/>
          <w:lang w:val="es-ES_tradnl" w:eastAsia="es-ES_tradnl"/>
        </w:rPr>
        <w:t>CONSIDERANDO:</w:t>
      </w:r>
    </w:p>
    <w:p w:rsidR="00006B4A" w:rsidRPr="006E6A15" w:rsidRDefault="003E6C41" w:rsidP="006E6A15">
      <w:pPr>
        <w:spacing w:after="240" w:line="360" w:lineRule="auto"/>
        <w:ind w:firstLine="1843"/>
        <w:jc w:val="both"/>
        <w:rPr>
          <w:rFonts w:eastAsia="Arial" w:cs="Arial"/>
          <w:color w:val="000000" w:themeColor="text1"/>
          <w:sz w:val="22"/>
          <w:szCs w:val="22"/>
          <w:lang w:val="es-AR" w:eastAsia="es-AR"/>
        </w:rPr>
      </w:pPr>
      <w:r w:rsidRPr="006E6A15">
        <w:rPr>
          <w:rFonts w:eastAsia="Arial" w:cs="Arial"/>
          <w:color w:val="000000" w:themeColor="text1"/>
          <w:sz w:val="22"/>
          <w:szCs w:val="22"/>
          <w:lang w:val="es-AR" w:eastAsia="es-AR"/>
        </w:rPr>
        <w:t>Que, a través del trámite del expediente referido, se puso en conocimiento de lo resuelto al Sr. Intendente de la Municipalidad de Chascomús, a los fines que arbitre los medios necesarios para atender adecuadamente el correcto funcionamiento de la Planta de Tratamiento de Líquidos Cloacales en el tratamiento de las excretas recolectadas y conducidas por la red cloacal y las 4 estaciones de bombeo dispuestas en esa ciudad para tal fin.</w:t>
      </w:r>
    </w:p>
    <w:p w:rsidR="00006B4A" w:rsidRPr="006E6A15" w:rsidRDefault="00096A7D" w:rsidP="006E6A15">
      <w:pPr>
        <w:spacing w:after="240" w:line="360" w:lineRule="auto"/>
        <w:ind w:firstLine="1843"/>
        <w:jc w:val="both"/>
        <w:rPr>
          <w:rFonts w:eastAsia="Arial" w:cs="Arial"/>
          <w:color w:val="000000" w:themeColor="text1"/>
          <w:sz w:val="22"/>
          <w:szCs w:val="22"/>
          <w:lang w:val="es-AR" w:eastAsia="es-AR"/>
        </w:rPr>
      </w:pPr>
      <w:r w:rsidRPr="006E6A15">
        <w:rPr>
          <w:rFonts w:eastAsia="Arial" w:cs="Arial"/>
          <w:color w:val="000000" w:themeColor="text1"/>
          <w:sz w:val="22"/>
          <w:szCs w:val="22"/>
          <w:lang w:val="es-AR" w:eastAsia="es-AR"/>
        </w:rPr>
        <w:t>Que,</w:t>
      </w:r>
      <w:r w:rsidR="00C64360" w:rsidRPr="006E6A15">
        <w:rPr>
          <w:rFonts w:eastAsia="Arial" w:cs="Arial"/>
          <w:color w:val="000000" w:themeColor="text1"/>
          <w:sz w:val="22"/>
          <w:szCs w:val="22"/>
          <w:lang w:val="es-AR" w:eastAsia="es-AR"/>
        </w:rPr>
        <w:t xml:space="preserve"> en el Plan de Desarrollo Territorial (PDT), en su</w:t>
      </w:r>
      <w:r w:rsidRPr="006E6A15">
        <w:rPr>
          <w:rFonts w:eastAsia="Arial" w:cs="Arial"/>
          <w:color w:val="000000" w:themeColor="text1"/>
          <w:sz w:val="22"/>
          <w:szCs w:val="22"/>
          <w:lang w:val="es-AR" w:eastAsia="es-AR"/>
        </w:rPr>
        <w:t xml:space="preserve"> Capítulo </w:t>
      </w:r>
      <w:r w:rsidR="00210EDD" w:rsidRPr="006E6A15">
        <w:rPr>
          <w:rFonts w:eastAsia="Arial" w:cs="Arial"/>
          <w:color w:val="000000" w:themeColor="text1"/>
          <w:sz w:val="22"/>
          <w:szCs w:val="22"/>
          <w:lang w:val="es-AR" w:eastAsia="es-AR"/>
        </w:rPr>
        <w:t>VII</w:t>
      </w:r>
      <w:r w:rsidR="00E97314" w:rsidRPr="006E6A15">
        <w:rPr>
          <w:rFonts w:eastAsia="Arial" w:cs="Arial"/>
          <w:color w:val="000000" w:themeColor="text1"/>
          <w:sz w:val="22"/>
          <w:szCs w:val="22"/>
          <w:lang w:val="es-AR" w:eastAsia="es-AR"/>
        </w:rPr>
        <w:t xml:space="preserve"> (Reglamentaciones Especiales)</w:t>
      </w:r>
      <w:r w:rsidR="00210EDD" w:rsidRPr="006E6A15">
        <w:rPr>
          <w:rFonts w:eastAsia="Arial" w:cs="Arial"/>
          <w:color w:val="000000" w:themeColor="text1"/>
          <w:sz w:val="22"/>
          <w:szCs w:val="22"/>
          <w:lang w:val="es-AR" w:eastAsia="es-AR"/>
        </w:rPr>
        <w:t>, Sección 3</w:t>
      </w:r>
      <w:r w:rsidR="00E97314" w:rsidRPr="006E6A15">
        <w:rPr>
          <w:rFonts w:eastAsia="Arial" w:cs="Arial"/>
          <w:color w:val="000000" w:themeColor="text1"/>
          <w:sz w:val="22"/>
          <w:szCs w:val="22"/>
          <w:lang w:val="es-AR" w:eastAsia="es-AR"/>
        </w:rPr>
        <w:t xml:space="preserve"> (Obligaciones generales de los propietarios, profesionales, constructores y empresas), se indica lo siguiente:</w:t>
      </w:r>
    </w:p>
    <w:p w:rsidR="00006B4A" w:rsidRDefault="00E97314" w:rsidP="003933F9">
      <w:pPr>
        <w:pStyle w:val="Encabezado"/>
        <w:tabs>
          <w:tab w:val="clear" w:pos="4419"/>
          <w:tab w:val="clear" w:pos="8838"/>
        </w:tabs>
        <w:spacing w:line="360" w:lineRule="auto"/>
        <w:ind w:firstLine="1843"/>
        <w:jc w:val="both"/>
        <w:rPr>
          <w:rFonts w:cs="Arial"/>
          <w:i/>
          <w:iCs/>
          <w:spacing w:val="0"/>
          <w:sz w:val="22"/>
          <w:szCs w:val="22"/>
          <w:lang w:val="es-MX"/>
        </w:rPr>
      </w:pPr>
      <w:r w:rsidRPr="00006B4A">
        <w:rPr>
          <w:rFonts w:cs="Arial"/>
          <w:i/>
          <w:iCs/>
          <w:spacing w:val="0"/>
          <w:sz w:val="22"/>
          <w:szCs w:val="22"/>
          <w:lang w:val="es-MX"/>
        </w:rPr>
        <w:t>“VII.3. Todo propietario, profesional, constructor o empresa constructora al estar comprendidos en el alcance de este Código, tienen conocimiento de las condiciones que en él se exigen, quedando sujeto a las responsabilidades que se deriven de su aplicación. Serán responsable de las construcciones sin permiso o modificaciones</w:t>
      </w:r>
      <w:r w:rsidR="00006B4A">
        <w:rPr>
          <w:rFonts w:cs="Arial"/>
          <w:i/>
          <w:iCs/>
          <w:spacing w:val="0"/>
          <w:sz w:val="22"/>
          <w:szCs w:val="22"/>
          <w:lang w:val="es-MX"/>
        </w:rPr>
        <w:t xml:space="preserve"> en obra de planos aprobados que se opongan a las normas establecidas en el presente Código</w:t>
      </w:r>
      <w:r w:rsidRPr="00006B4A">
        <w:rPr>
          <w:rFonts w:cs="Arial"/>
          <w:i/>
          <w:iCs/>
          <w:spacing w:val="0"/>
          <w:sz w:val="22"/>
          <w:szCs w:val="22"/>
          <w:lang w:val="es-MX"/>
        </w:rPr>
        <w:t>.</w:t>
      </w:r>
    </w:p>
    <w:p w:rsidR="00006B4A" w:rsidRDefault="00E97314" w:rsidP="003933F9">
      <w:pPr>
        <w:pStyle w:val="Encabezado"/>
        <w:tabs>
          <w:tab w:val="clear" w:pos="4419"/>
          <w:tab w:val="clear" w:pos="8838"/>
        </w:tabs>
        <w:spacing w:line="360" w:lineRule="auto"/>
        <w:ind w:firstLine="1843"/>
        <w:jc w:val="both"/>
        <w:rPr>
          <w:rFonts w:cs="Arial"/>
          <w:i/>
          <w:iCs/>
          <w:spacing w:val="0"/>
          <w:sz w:val="22"/>
          <w:szCs w:val="22"/>
          <w:lang w:val="es-MX"/>
        </w:rPr>
      </w:pPr>
      <w:r w:rsidRPr="00006B4A">
        <w:rPr>
          <w:rFonts w:cs="Arial"/>
          <w:i/>
          <w:iCs/>
          <w:spacing w:val="0"/>
          <w:sz w:val="22"/>
          <w:szCs w:val="22"/>
          <w:lang w:val="es-MX"/>
        </w:rPr>
        <w:t>Se consideran responsables de la documentación, los profesionales actuantes y propietarios.</w:t>
      </w:r>
    </w:p>
    <w:p w:rsidR="00006B4A" w:rsidRDefault="00E97314" w:rsidP="003933F9">
      <w:pPr>
        <w:pStyle w:val="Encabezado"/>
        <w:tabs>
          <w:tab w:val="clear" w:pos="4419"/>
          <w:tab w:val="clear" w:pos="8838"/>
        </w:tabs>
        <w:spacing w:line="360" w:lineRule="auto"/>
        <w:ind w:firstLine="1843"/>
        <w:jc w:val="both"/>
        <w:rPr>
          <w:rFonts w:cs="Arial"/>
          <w:spacing w:val="0"/>
          <w:sz w:val="22"/>
          <w:szCs w:val="22"/>
          <w:lang w:val="es-MX"/>
        </w:rPr>
      </w:pPr>
      <w:r w:rsidRPr="00006B4A">
        <w:rPr>
          <w:rFonts w:cs="Arial"/>
          <w:i/>
          <w:iCs/>
          <w:spacing w:val="0"/>
          <w:sz w:val="22"/>
          <w:szCs w:val="22"/>
          <w:lang w:val="es-MX"/>
        </w:rPr>
        <w:t>VII.4. Sanciones: Las sanciones a aplicar a los infractores del presente Código, serán las establecidas en el Artículo 93 al 97 del título V de la Ley 8.912, reglamentadas por la Municipalidad</w:t>
      </w:r>
      <w:r w:rsidRPr="00006B4A">
        <w:rPr>
          <w:rFonts w:cs="Arial"/>
          <w:spacing w:val="0"/>
          <w:sz w:val="22"/>
          <w:szCs w:val="22"/>
          <w:lang w:val="es-MX"/>
        </w:rPr>
        <w:t>.”</w:t>
      </w:r>
    </w:p>
    <w:p w:rsidR="00006B4A" w:rsidRDefault="0085611D" w:rsidP="003933F9">
      <w:pPr>
        <w:pStyle w:val="Encabezado"/>
        <w:tabs>
          <w:tab w:val="clear" w:pos="4419"/>
          <w:tab w:val="clear" w:pos="8838"/>
        </w:tabs>
        <w:spacing w:line="360" w:lineRule="auto"/>
        <w:ind w:firstLine="1843"/>
        <w:jc w:val="both"/>
        <w:rPr>
          <w:rFonts w:cs="Arial"/>
          <w:spacing w:val="0"/>
          <w:sz w:val="22"/>
          <w:szCs w:val="22"/>
          <w:lang w:val="es-MX"/>
        </w:rPr>
      </w:pPr>
      <w:r w:rsidRPr="00006B4A">
        <w:rPr>
          <w:rFonts w:cs="Arial"/>
          <w:spacing w:val="0"/>
          <w:sz w:val="22"/>
          <w:szCs w:val="22"/>
          <w:lang w:val="es-MX"/>
        </w:rPr>
        <w:t xml:space="preserve">Que, por su parte, dicho Decreto-Ley </w:t>
      </w:r>
      <w:r w:rsidR="00A56CC1" w:rsidRPr="00006B4A">
        <w:rPr>
          <w:rFonts w:cs="Arial"/>
          <w:spacing w:val="0"/>
          <w:sz w:val="22"/>
          <w:szCs w:val="22"/>
          <w:lang w:val="es-MX"/>
        </w:rPr>
        <w:t>en su artículo 94º, inciso 3, impone sanciones “</w:t>
      </w:r>
      <w:r w:rsidR="00A56CC1" w:rsidRPr="00006B4A">
        <w:rPr>
          <w:rFonts w:cs="Arial"/>
          <w:i/>
          <w:iCs/>
          <w:spacing w:val="0"/>
          <w:sz w:val="22"/>
          <w:szCs w:val="22"/>
          <w:lang w:val="es-MX"/>
        </w:rPr>
        <w:t xml:space="preserve">De cincuenta (50) a quinientos (500) sueldos mínimos de la Administración municipal, en los supuestos de violación a los planes de ordenamiento territorial, que perjudiquen a terceros o infrinjan lo dispuesto en materia de infraestructura de servicios, dimensiones mínimas de parcelas, cambio de uso, factores de ocupación de suelo y ocupación total, densidad y alturas máximas de edificación”. </w:t>
      </w:r>
      <w:r w:rsidR="00A56CC1" w:rsidRPr="00006B4A">
        <w:rPr>
          <w:rFonts w:cs="Arial"/>
          <w:spacing w:val="0"/>
          <w:sz w:val="22"/>
          <w:szCs w:val="22"/>
          <w:lang w:val="es-MX"/>
        </w:rPr>
        <w:t xml:space="preserve">Agregando a continuación que </w:t>
      </w:r>
      <w:r w:rsidR="00A56CC1" w:rsidRPr="00006B4A">
        <w:rPr>
          <w:rFonts w:cs="Arial"/>
          <w:i/>
          <w:iCs/>
          <w:spacing w:val="0"/>
          <w:sz w:val="22"/>
          <w:szCs w:val="22"/>
          <w:lang w:val="es-MX"/>
        </w:rPr>
        <w:t xml:space="preserve">“Podrán disponerse, igualmente, las </w:t>
      </w:r>
      <w:r w:rsidR="00A56CC1" w:rsidRPr="00006B4A">
        <w:rPr>
          <w:rFonts w:cs="Arial"/>
          <w:i/>
          <w:iCs/>
          <w:spacing w:val="0"/>
          <w:sz w:val="22"/>
          <w:szCs w:val="22"/>
          <w:lang w:val="es-MX"/>
        </w:rPr>
        <w:lastRenderedPageBreak/>
        <w:t>medidas accesorias previstas en el Código de Faltas Municipales y en especial disponer la suspensión de obras, remoción, demolición o adecuación de las construcciones erigidas indebidamente”</w:t>
      </w:r>
      <w:r w:rsidR="00A56CC1" w:rsidRPr="00006B4A">
        <w:rPr>
          <w:rFonts w:cs="Arial"/>
          <w:spacing w:val="0"/>
          <w:sz w:val="22"/>
          <w:szCs w:val="22"/>
          <w:lang w:val="es-MX"/>
        </w:rPr>
        <w:t>.</w:t>
      </w:r>
    </w:p>
    <w:p w:rsidR="00006B4A" w:rsidRPr="006E6A15" w:rsidRDefault="00C2646E" w:rsidP="006E6A15">
      <w:pPr>
        <w:spacing w:after="240" w:line="360" w:lineRule="auto"/>
        <w:ind w:firstLine="1843"/>
        <w:jc w:val="both"/>
        <w:rPr>
          <w:rFonts w:eastAsia="Arial" w:cs="Arial"/>
          <w:i/>
          <w:color w:val="000000" w:themeColor="text1"/>
          <w:sz w:val="22"/>
          <w:szCs w:val="22"/>
          <w:lang w:val="es-AR" w:eastAsia="es-AR"/>
        </w:rPr>
      </w:pPr>
      <w:r w:rsidRPr="006E6A15">
        <w:rPr>
          <w:rFonts w:eastAsia="Arial" w:cs="Arial"/>
          <w:color w:val="000000" w:themeColor="text1"/>
          <w:sz w:val="22"/>
          <w:szCs w:val="22"/>
          <w:lang w:val="es-AR" w:eastAsia="es-AR"/>
        </w:rPr>
        <w:t>Que, el Código Contravencional vigente (Ordenanza 5457)</w:t>
      </w:r>
      <w:r w:rsidR="008F46E1" w:rsidRPr="006E6A15">
        <w:rPr>
          <w:rFonts w:eastAsia="Arial" w:cs="Arial"/>
          <w:color w:val="000000" w:themeColor="text1"/>
          <w:sz w:val="22"/>
          <w:szCs w:val="22"/>
          <w:lang w:val="es-AR" w:eastAsia="es-AR"/>
        </w:rPr>
        <w:t xml:space="preserve">, en su artículo 81º indica que corresponde imponer multa de 50 a 5000 módulos </w:t>
      </w:r>
      <w:r w:rsidR="008F46E1" w:rsidRPr="006E6A15">
        <w:rPr>
          <w:rFonts w:eastAsia="Arial" w:cs="Arial"/>
          <w:i/>
          <w:color w:val="000000" w:themeColor="text1"/>
          <w:sz w:val="22"/>
          <w:szCs w:val="22"/>
          <w:lang w:val="es-AR" w:eastAsia="es-AR"/>
        </w:rPr>
        <w:t>“Por inexactitud, datos falsos en la documentación de obra, diferencia de obra o construcción sin planos de obra aprobados, o cualquier otra falta o contravención a la normativa de construcciones”.</w:t>
      </w:r>
    </w:p>
    <w:p w:rsidR="005B3583" w:rsidRPr="006E6A15" w:rsidRDefault="0059657D" w:rsidP="006E6A15">
      <w:pPr>
        <w:spacing w:after="240" w:line="360" w:lineRule="auto"/>
        <w:ind w:firstLine="1843"/>
        <w:jc w:val="both"/>
        <w:rPr>
          <w:rFonts w:eastAsia="Arial" w:cs="Arial"/>
          <w:color w:val="000000" w:themeColor="text1"/>
          <w:sz w:val="22"/>
          <w:szCs w:val="22"/>
          <w:lang w:val="es-AR" w:eastAsia="es-AR"/>
        </w:rPr>
      </w:pPr>
      <w:r w:rsidRPr="006E6A15">
        <w:rPr>
          <w:rFonts w:eastAsia="Arial" w:cs="Arial"/>
          <w:color w:val="000000" w:themeColor="text1"/>
          <w:sz w:val="22"/>
          <w:szCs w:val="22"/>
          <w:lang w:val="es-AR" w:eastAsia="es-AR"/>
        </w:rPr>
        <w:t>Que, actualmente, se cuenta con herramientas digitales que permiten observar que muchas construcciones particulares superan el Factor de Ocupación de Suelo (FOS) máximo previsto en el PDT (60% de la superficie del terreno), lo que, sumado a otras malas prácticas, como el hormigonado de patios y veredas en su totalidad, o el retiro de árboles, han reducido notablemente la permeabilidad del suelo en el casco urbano, lo que se ve reflejado en el anegamiento de calles por tiempos más prolongados, además de otras consecuencias a las que se suma también el uso intensivo de autos particulares, observándose los primeros síntomas de las llamadas “islas de calor urbano”, contaminación del aire y pérdida de biodiversidad.</w:t>
      </w:r>
    </w:p>
    <w:p w:rsidR="005B3583" w:rsidRPr="006E6A15" w:rsidRDefault="003E6C41" w:rsidP="006E6A15">
      <w:pPr>
        <w:spacing w:after="240" w:line="360" w:lineRule="auto"/>
        <w:ind w:firstLine="1843"/>
        <w:jc w:val="both"/>
        <w:rPr>
          <w:rFonts w:eastAsia="Arial" w:cs="Arial"/>
          <w:color w:val="000000" w:themeColor="text1"/>
          <w:sz w:val="22"/>
          <w:szCs w:val="22"/>
          <w:lang w:val="es-AR" w:eastAsia="es-AR"/>
        </w:rPr>
      </w:pPr>
      <w:r w:rsidRPr="006E6A15">
        <w:rPr>
          <w:rFonts w:eastAsia="Arial" w:cs="Arial"/>
          <w:color w:val="000000" w:themeColor="text1"/>
          <w:sz w:val="22"/>
          <w:szCs w:val="22"/>
          <w:lang w:val="es-AR" w:eastAsia="es-AR"/>
        </w:rPr>
        <w:t>Que</w:t>
      </w:r>
      <w:r w:rsidR="00B962C6" w:rsidRPr="006E6A15">
        <w:rPr>
          <w:rFonts w:eastAsia="Arial" w:cs="Arial"/>
          <w:color w:val="000000" w:themeColor="text1"/>
          <w:sz w:val="22"/>
          <w:szCs w:val="22"/>
          <w:lang w:val="es-AR" w:eastAsia="es-AR"/>
        </w:rPr>
        <w:t>,</w:t>
      </w:r>
      <w:r w:rsidRPr="006E6A15">
        <w:rPr>
          <w:rFonts w:eastAsia="Arial" w:cs="Arial"/>
          <w:color w:val="000000" w:themeColor="text1"/>
          <w:sz w:val="22"/>
          <w:szCs w:val="22"/>
          <w:lang w:val="es-AR" w:eastAsia="es-AR"/>
        </w:rPr>
        <w:t xml:space="preserve"> a su vez, y seguramente como consecuencia de </w:t>
      </w:r>
      <w:r w:rsidR="00245009" w:rsidRPr="006E6A15">
        <w:rPr>
          <w:rFonts w:eastAsia="Arial" w:cs="Arial"/>
          <w:color w:val="000000" w:themeColor="text1"/>
          <w:sz w:val="22"/>
          <w:szCs w:val="22"/>
          <w:lang w:val="es-AR" w:eastAsia="es-AR"/>
        </w:rPr>
        <w:t>esto, como así también de antiguas recomendaciones en este sentido (cuando había un casco urbano más reducido), se han generalizado las conexiones de desagües pluviales</w:t>
      </w:r>
      <w:r w:rsidR="00B962C6" w:rsidRPr="006E6A15">
        <w:rPr>
          <w:rFonts w:eastAsia="Arial" w:cs="Arial"/>
          <w:color w:val="000000" w:themeColor="text1"/>
          <w:sz w:val="22"/>
          <w:szCs w:val="22"/>
          <w:lang w:val="es-AR" w:eastAsia="es-AR"/>
        </w:rPr>
        <w:t xml:space="preserve"> de inmuebles particulares</w:t>
      </w:r>
      <w:r w:rsidR="00245009" w:rsidRPr="006E6A15">
        <w:rPr>
          <w:rFonts w:eastAsia="Arial" w:cs="Arial"/>
          <w:color w:val="000000" w:themeColor="text1"/>
          <w:sz w:val="22"/>
          <w:szCs w:val="22"/>
          <w:lang w:val="es-AR" w:eastAsia="es-AR"/>
        </w:rPr>
        <w:t xml:space="preserve"> a la red municipal de cloacas, lo que ha agravado progresivamente el funcionamiento de los distintos bombeos del sistema, </w:t>
      </w:r>
      <w:r w:rsidR="00B962C6" w:rsidRPr="006E6A15">
        <w:rPr>
          <w:rFonts w:eastAsia="Arial" w:cs="Arial"/>
          <w:color w:val="000000" w:themeColor="text1"/>
          <w:sz w:val="22"/>
          <w:szCs w:val="22"/>
          <w:lang w:val="es-AR" w:eastAsia="es-AR"/>
        </w:rPr>
        <w:t>colapsando los días de lluvia y manteniéndolos activos de forma constante durante el periodo posterior, forzando su capacidad, con las consecuencias que esto acarrea.</w:t>
      </w:r>
    </w:p>
    <w:p w:rsidR="005B3583" w:rsidRPr="006E6A15" w:rsidRDefault="003B7D63" w:rsidP="006E6A15">
      <w:pPr>
        <w:spacing w:after="240" w:line="360" w:lineRule="auto"/>
        <w:ind w:firstLine="1843"/>
        <w:jc w:val="both"/>
        <w:rPr>
          <w:rFonts w:eastAsia="Arial" w:cs="Arial"/>
          <w:color w:val="000000" w:themeColor="text1"/>
          <w:sz w:val="22"/>
          <w:szCs w:val="22"/>
          <w:lang w:val="es-AR" w:eastAsia="es-AR"/>
        </w:rPr>
      </w:pPr>
      <w:r w:rsidRPr="006E6A15">
        <w:rPr>
          <w:rFonts w:eastAsia="Arial" w:cs="Arial"/>
          <w:color w:val="000000" w:themeColor="text1"/>
          <w:sz w:val="22"/>
          <w:szCs w:val="22"/>
          <w:lang w:val="es-AR" w:eastAsia="es-AR"/>
        </w:rPr>
        <w:t xml:space="preserve">Que, ante la necesidad de comenzar a corregir estas irregularidades, resulta conveniente reglamentar la imposición de las sanciones previstas en la normativa referida previamente, incorporándola </w:t>
      </w:r>
      <w:r w:rsidR="00F07F53" w:rsidRPr="006E6A15">
        <w:rPr>
          <w:rFonts w:eastAsia="Arial" w:cs="Arial"/>
          <w:color w:val="000000" w:themeColor="text1"/>
          <w:sz w:val="22"/>
          <w:szCs w:val="22"/>
          <w:lang w:val="es-AR" w:eastAsia="es-AR"/>
        </w:rPr>
        <w:t>como una carga adicional en la liquidación de tributos municipales, en tanto no se realicen las adecuaciones de lo que hubiera sido construido sin autorización y</w:t>
      </w:r>
      <w:r w:rsidR="00B962C6" w:rsidRPr="006E6A15">
        <w:rPr>
          <w:rFonts w:eastAsia="Arial" w:cs="Arial"/>
          <w:color w:val="000000" w:themeColor="text1"/>
          <w:sz w:val="22"/>
          <w:szCs w:val="22"/>
          <w:lang w:val="es-AR" w:eastAsia="es-AR"/>
        </w:rPr>
        <w:t>/o</w:t>
      </w:r>
      <w:r w:rsidR="00F07F53" w:rsidRPr="006E6A15">
        <w:rPr>
          <w:rFonts w:eastAsia="Arial" w:cs="Arial"/>
          <w:color w:val="000000" w:themeColor="text1"/>
          <w:sz w:val="22"/>
          <w:szCs w:val="22"/>
          <w:lang w:val="es-AR" w:eastAsia="es-AR"/>
        </w:rPr>
        <w:t xml:space="preserve"> excediendo los parámetros previstos.</w:t>
      </w:r>
    </w:p>
    <w:p w:rsidR="001C39DF" w:rsidRPr="006E6A15" w:rsidRDefault="00586E10" w:rsidP="006E6A15">
      <w:pPr>
        <w:spacing w:after="240" w:line="360" w:lineRule="auto"/>
        <w:ind w:firstLine="1843"/>
        <w:jc w:val="both"/>
        <w:rPr>
          <w:rFonts w:eastAsia="Arial" w:cs="Arial"/>
          <w:color w:val="000000" w:themeColor="text1"/>
          <w:sz w:val="22"/>
          <w:szCs w:val="22"/>
          <w:lang w:val="es-AR" w:eastAsia="es-AR"/>
        </w:rPr>
      </w:pPr>
      <w:r w:rsidRPr="006E6A15">
        <w:rPr>
          <w:rFonts w:eastAsia="Arial" w:cs="Arial"/>
          <w:color w:val="000000" w:themeColor="text1"/>
          <w:sz w:val="22"/>
          <w:szCs w:val="22"/>
          <w:lang w:val="es-AR" w:eastAsia="es-AR"/>
        </w:rPr>
        <w:t>Que dicha determinación se realizará a través de inspecciones oculares, inspecciones a través de vuelos de relevamiento que pudieran contratarse o mediante información satelital disponible de libre uso y/o por los convenios suscriptos con la ARBA u otros organismos y/o terceros que contaran con estas herramientas.</w:t>
      </w:r>
    </w:p>
    <w:p w:rsidR="001C39DF" w:rsidRPr="006E6A15" w:rsidRDefault="001C39DF" w:rsidP="006E6A15">
      <w:pPr>
        <w:spacing w:after="240" w:line="360" w:lineRule="auto"/>
        <w:ind w:firstLine="1843"/>
        <w:jc w:val="both"/>
        <w:rPr>
          <w:rFonts w:eastAsia="Arial" w:cs="Arial"/>
          <w:color w:val="000000" w:themeColor="text1"/>
          <w:sz w:val="22"/>
          <w:szCs w:val="22"/>
          <w:lang w:val="es-AR" w:eastAsia="es-AR"/>
        </w:rPr>
      </w:pPr>
      <w:r w:rsidRPr="006E6A15">
        <w:rPr>
          <w:rFonts w:eastAsia="Arial" w:cs="Arial"/>
          <w:color w:val="000000" w:themeColor="text1"/>
          <w:sz w:val="22"/>
          <w:szCs w:val="22"/>
          <w:lang w:val="es-AR" w:eastAsia="es-AR"/>
        </w:rPr>
        <w:lastRenderedPageBreak/>
        <w:t>Que en definitiva se pretende establecer la graduación de las multas previstas en el Decreto Ley Nº 8912/77 y en la Ordenanza 4030, modificada por Ordenanza 4561 y convalidada por Decreto Provincial N° 270 del año 2014 –Plan de Desarrollo Territorial de Chascomús-, para los casos en que se detecte que los desagües pluviales se encuentran conectados al sistema municipal de cloacas y/o que existen construcciones y/o cubiertas de chapa u otro material que superan la superficie determinada por el PDT como Factor de Ocupación del Suelo, para los inmuebles del casco urbano del partido de Chascomús, de acuerdo al “distrito” en que se ubican, según la referida normativa</w:t>
      </w:r>
    </w:p>
    <w:p w:rsidR="006E6A15" w:rsidRPr="00E10A4D" w:rsidRDefault="006E6A15" w:rsidP="006E6A15">
      <w:pPr>
        <w:spacing w:after="240" w:line="360" w:lineRule="auto"/>
        <w:ind w:firstLine="1843"/>
        <w:jc w:val="both"/>
        <w:rPr>
          <w:rFonts w:cs="Arial"/>
          <w:sz w:val="22"/>
          <w:szCs w:val="22"/>
          <w:lang w:val="es-AR"/>
        </w:rPr>
      </w:pPr>
      <w:r w:rsidRPr="00E10A4D">
        <w:rPr>
          <w:rFonts w:cs="Arial"/>
          <w:sz w:val="22"/>
          <w:szCs w:val="22"/>
          <w:lang w:val="es-AR"/>
        </w:rPr>
        <w:t>Por ello, el Intendente Municipal, en uso de sus atribuciones, eleva el siguiente proyecto de</w:t>
      </w:r>
    </w:p>
    <w:p w:rsidR="0053616C" w:rsidRPr="00006B4A" w:rsidRDefault="00AE79AA" w:rsidP="00006B4A">
      <w:pPr>
        <w:pStyle w:val="Encabezado"/>
        <w:tabs>
          <w:tab w:val="clear" w:pos="4419"/>
          <w:tab w:val="clear" w:pos="8838"/>
        </w:tabs>
        <w:spacing w:line="360" w:lineRule="auto"/>
        <w:jc w:val="center"/>
        <w:rPr>
          <w:rFonts w:cs="Arial"/>
          <w:b/>
          <w:spacing w:val="0"/>
          <w:sz w:val="22"/>
          <w:szCs w:val="22"/>
          <w:lang w:val="es-MX"/>
        </w:rPr>
      </w:pPr>
      <w:r w:rsidRPr="00006B4A">
        <w:rPr>
          <w:rFonts w:cs="Arial"/>
          <w:b/>
          <w:spacing w:val="0"/>
          <w:sz w:val="22"/>
          <w:szCs w:val="22"/>
          <w:lang w:val="es-MX"/>
        </w:rPr>
        <w:t>ORDENANZ</w:t>
      </w:r>
      <w:r w:rsidR="00F250EA" w:rsidRPr="00006B4A">
        <w:rPr>
          <w:rFonts w:cs="Arial"/>
          <w:b/>
          <w:spacing w:val="0"/>
          <w:sz w:val="22"/>
          <w:szCs w:val="22"/>
          <w:lang w:val="es-MX"/>
        </w:rPr>
        <w:t>A</w:t>
      </w:r>
    </w:p>
    <w:p w:rsidR="00CF51BB" w:rsidRPr="00006B4A" w:rsidRDefault="00CF51BB" w:rsidP="00006B4A">
      <w:pPr>
        <w:pStyle w:val="Encabezado"/>
        <w:tabs>
          <w:tab w:val="clear" w:pos="4419"/>
          <w:tab w:val="clear" w:pos="8838"/>
        </w:tabs>
        <w:spacing w:line="360" w:lineRule="auto"/>
        <w:jc w:val="both"/>
        <w:rPr>
          <w:rFonts w:cs="Arial"/>
          <w:b/>
          <w:spacing w:val="0"/>
          <w:sz w:val="22"/>
          <w:szCs w:val="22"/>
          <w:lang w:val="es-MX"/>
        </w:rPr>
      </w:pPr>
    </w:p>
    <w:p w:rsidR="004A0645" w:rsidRPr="006E6A15" w:rsidRDefault="004F2B20" w:rsidP="006E6A15">
      <w:pPr>
        <w:spacing w:before="120" w:line="360" w:lineRule="auto"/>
        <w:jc w:val="both"/>
        <w:rPr>
          <w:rFonts w:cs="Arial"/>
          <w:b/>
          <w:bCs/>
          <w:sz w:val="22"/>
          <w:szCs w:val="22"/>
          <w:u w:val="single"/>
          <w:lang w:val="es-ES_tradnl" w:eastAsia="es-ES_tradnl"/>
        </w:rPr>
      </w:pPr>
      <w:r w:rsidRPr="006E6A15">
        <w:rPr>
          <w:rFonts w:cs="Arial"/>
          <w:b/>
          <w:bCs/>
          <w:sz w:val="22"/>
          <w:szCs w:val="22"/>
          <w:u w:val="single"/>
          <w:lang w:val="es-ES_tradnl" w:eastAsia="es-ES_tradnl"/>
        </w:rPr>
        <w:t>Art</w:t>
      </w:r>
      <w:r w:rsidR="001B22A3" w:rsidRPr="006E6A15">
        <w:rPr>
          <w:rFonts w:cs="Arial"/>
          <w:b/>
          <w:bCs/>
          <w:sz w:val="22"/>
          <w:szCs w:val="22"/>
          <w:u w:val="single"/>
          <w:lang w:val="es-ES_tradnl" w:eastAsia="es-ES_tradnl"/>
        </w:rPr>
        <w:t>ículo</w:t>
      </w:r>
      <w:r w:rsidRPr="006E6A15">
        <w:rPr>
          <w:rFonts w:cs="Arial"/>
          <w:b/>
          <w:bCs/>
          <w:sz w:val="22"/>
          <w:szCs w:val="22"/>
          <w:u w:val="single"/>
          <w:lang w:val="es-ES_tradnl" w:eastAsia="es-ES_tradnl"/>
        </w:rPr>
        <w:t xml:space="preserve"> 1</w:t>
      </w:r>
      <w:r w:rsidR="001B22A3" w:rsidRPr="006E6A15">
        <w:rPr>
          <w:rFonts w:cs="Arial"/>
          <w:b/>
          <w:bCs/>
          <w:sz w:val="22"/>
          <w:szCs w:val="22"/>
          <w:u w:val="single"/>
          <w:lang w:val="es-ES_tradnl" w:eastAsia="es-ES_tradnl"/>
        </w:rPr>
        <w:t>º</w:t>
      </w:r>
      <w:r w:rsidR="001C39DF" w:rsidRPr="006E6A15">
        <w:rPr>
          <w:rFonts w:cs="Arial"/>
          <w:b/>
          <w:bCs/>
          <w:sz w:val="22"/>
          <w:szCs w:val="22"/>
          <w:u w:val="single"/>
          <w:lang w:val="es-ES_tradnl" w:eastAsia="es-ES_tradnl"/>
        </w:rPr>
        <w:t>:</w:t>
      </w:r>
      <w:r w:rsidR="001C39DF" w:rsidRPr="006E6A15">
        <w:rPr>
          <w:rFonts w:cs="Arial"/>
          <w:bCs/>
          <w:sz w:val="22"/>
          <w:szCs w:val="22"/>
          <w:lang w:val="es-ES_tradnl" w:eastAsia="es-ES_tradnl"/>
        </w:rPr>
        <w:t xml:space="preserve"> Aplíquese una tasa especial adicional equivalente al cincuenta por ciento (50%) de la Tasa por Servicios Santuarios que le corresponde al inmueble c</w:t>
      </w:r>
      <w:r w:rsidR="004A0645" w:rsidRPr="006E6A15">
        <w:rPr>
          <w:rFonts w:cs="Arial"/>
          <w:bCs/>
          <w:sz w:val="22"/>
          <w:szCs w:val="22"/>
          <w:lang w:val="es-ES_tradnl" w:eastAsia="es-ES_tradnl"/>
        </w:rPr>
        <w:t xml:space="preserve">uando se detecten desagües pluviales conectados a la red municipal de cloacas, </w:t>
      </w:r>
      <w:r w:rsidR="00141F09" w:rsidRPr="006E6A15">
        <w:rPr>
          <w:rFonts w:cs="Arial"/>
          <w:bCs/>
          <w:sz w:val="22"/>
          <w:szCs w:val="22"/>
          <w:lang w:val="es-ES_tradnl" w:eastAsia="es-ES_tradnl"/>
        </w:rPr>
        <w:t>ya que se presume la existencia de una correlación entre consumo de agua y utilización de desagües cloacales notoriamente distinta (inciso C, art. 119º de la Ordenanza Fiscal</w:t>
      </w:r>
      <w:r w:rsidR="005A5D90" w:rsidRPr="006E6A15">
        <w:rPr>
          <w:rFonts w:cs="Arial"/>
          <w:bCs/>
          <w:sz w:val="22"/>
          <w:szCs w:val="22"/>
          <w:lang w:val="es-ES_tradnl" w:eastAsia="es-ES_tradnl"/>
        </w:rPr>
        <w:t>)</w:t>
      </w:r>
      <w:r w:rsidR="004A0645" w:rsidRPr="006E6A15">
        <w:rPr>
          <w:rFonts w:cs="Arial"/>
          <w:bCs/>
          <w:sz w:val="22"/>
          <w:szCs w:val="22"/>
          <w:lang w:val="es-ES_tradnl" w:eastAsia="es-ES_tradnl"/>
        </w:rPr>
        <w:t>.</w:t>
      </w:r>
    </w:p>
    <w:p w:rsidR="001C39DF" w:rsidRPr="006E6A15" w:rsidRDefault="00316CB3" w:rsidP="006E6A15">
      <w:pPr>
        <w:spacing w:before="120" w:line="360" w:lineRule="auto"/>
        <w:jc w:val="both"/>
        <w:rPr>
          <w:rFonts w:cs="Arial"/>
          <w:b/>
          <w:bCs/>
          <w:sz w:val="22"/>
          <w:szCs w:val="22"/>
          <w:u w:val="single"/>
          <w:lang w:val="es-ES_tradnl" w:eastAsia="es-ES_tradnl"/>
        </w:rPr>
      </w:pPr>
      <w:r w:rsidRPr="006E6A15">
        <w:rPr>
          <w:rFonts w:cs="Arial"/>
          <w:b/>
          <w:bCs/>
          <w:sz w:val="22"/>
          <w:szCs w:val="22"/>
          <w:u w:val="single"/>
          <w:lang w:val="es-ES_tradnl" w:eastAsia="es-ES_tradnl"/>
        </w:rPr>
        <w:t>Artículo 2°:</w:t>
      </w:r>
      <w:r w:rsidRPr="006E6A15">
        <w:rPr>
          <w:rFonts w:cs="Arial"/>
          <w:bCs/>
          <w:sz w:val="22"/>
          <w:szCs w:val="22"/>
          <w:lang w:val="es-ES_tradnl" w:eastAsia="es-ES_tradnl"/>
        </w:rPr>
        <w:t xml:space="preserve"> </w:t>
      </w:r>
      <w:r w:rsidR="001C39DF" w:rsidRPr="006E6A15">
        <w:rPr>
          <w:rFonts w:cs="Arial"/>
          <w:bCs/>
          <w:sz w:val="22"/>
          <w:szCs w:val="22"/>
          <w:lang w:val="es-ES_tradnl" w:eastAsia="es-ES_tradnl"/>
        </w:rPr>
        <w:t>Aplíquese una multa en módulos equivalente al cien por ciento (100%) de la Tasa por Servicios Generales que le corresponda, cu</w:t>
      </w:r>
      <w:r w:rsidRPr="006E6A15">
        <w:rPr>
          <w:rFonts w:cs="Arial"/>
          <w:bCs/>
          <w:sz w:val="22"/>
          <w:szCs w:val="22"/>
          <w:lang w:val="es-ES_tradnl" w:eastAsia="es-ES_tradnl"/>
        </w:rPr>
        <w:t>ando se detecten</w:t>
      </w:r>
      <w:r w:rsidR="00AD2B40" w:rsidRPr="006E6A15">
        <w:rPr>
          <w:rFonts w:cs="Arial"/>
          <w:bCs/>
          <w:sz w:val="22"/>
          <w:szCs w:val="22"/>
          <w:lang w:val="es-ES_tradnl" w:eastAsia="es-ES_tradnl"/>
        </w:rPr>
        <w:t xml:space="preserve"> caso</w:t>
      </w:r>
      <w:r w:rsidRPr="006E6A15">
        <w:rPr>
          <w:rFonts w:cs="Arial"/>
          <w:bCs/>
          <w:sz w:val="22"/>
          <w:szCs w:val="22"/>
          <w:lang w:val="es-ES_tradnl" w:eastAsia="es-ES_tradnl"/>
        </w:rPr>
        <w:t>s</w:t>
      </w:r>
      <w:r w:rsidR="00AD2B40" w:rsidRPr="006E6A15">
        <w:rPr>
          <w:rFonts w:cs="Arial"/>
          <w:bCs/>
          <w:sz w:val="22"/>
          <w:szCs w:val="22"/>
          <w:lang w:val="es-ES_tradnl" w:eastAsia="es-ES_tradnl"/>
        </w:rPr>
        <w:t xml:space="preserve"> en que se ocupe el total de la superficie del inmueble,</w:t>
      </w:r>
      <w:r w:rsidRPr="006E6A15">
        <w:rPr>
          <w:rFonts w:cs="Arial"/>
          <w:bCs/>
          <w:sz w:val="22"/>
          <w:szCs w:val="22"/>
          <w:lang w:val="es-ES_tradnl" w:eastAsia="es-ES_tradnl"/>
        </w:rPr>
        <w:t xml:space="preserve"> </w:t>
      </w:r>
      <w:r w:rsidR="00AD2B40" w:rsidRPr="006E6A15">
        <w:rPr>
          <w:rFonts w:cs="Arial"/>
          <w:bCs/>
          <w:sz w:val="22"/>
          <w:szCs w:val="22"/>
          <w:lang w:val="es-ES_tradnl" w:eastAsia="es-ES_tradnl"/>
        </w:rPr>
        <w:t xml:space="preserve">en tanto dicha sanción no supere la cantidad de 5.000 módulos por año, según lo dispuesto en el artículo 81º del Código Contravencional. </w:t>
      </w:r>
    </w:p>
    <w:p w:rsidR="00A4648D" w:rsidRPr="006E6A15" w:rsidRDefault="001C39DF" w:rsidP="006E6A15">
      <w:pPr>
        <w:spacing w:before="120" w:line="360" w:lineRule="auto"/>
        <w:jc w:val="both"/>
        <w:rPr>
          <w:rFonts w:cs="Arial"/>
          <w:b/>
          <w:bCs/>
          <w:sz w:val="22"/>
          <w:szCs w:val="22"/>
          <w:u w:val="single"/>
          <w:lang w:val="es-ES_tradnl" w:eastAsia="es-ES_tradnl"/>
        </w:rPr>
      </w:pPr>
      <w:r w:rsidRPr="006E6A15">
        <w:rPr>
          <w:rFonts w:cs="Arial"/>
          <w:b/>
          <w:bCs/>
          <w:sz w:val="22"/>
          <w:szCs w:val="22"/>
          <w:u w:val="single"/>
          <w:lang w:val="es-ES_tradnl" w:eastAsia="es-ES_tradnl"/>
        </w:rPr>
        <w:t>Artículo 3°:</w:t>
      </w:r>
      <w:r w:rsidRPr="006E6A15">
        <w:rPr>
          <w:rFonts w:cs="Arial"/>
          <w:bCs/>
          <w:sz w:val="22"/>
          <w:szCs w:val="22"/>
          <w:lang w:val="es-ES_tradnl" w:eastAsia="es-ES_tradnl"/>
        </w:rPr>
        <w:t xml:space="preserve"> </w:t>
      </w:r>
      <w:r w:rsidR="00316CB3" w:rsidRPr="006E6A15">
        <w:rPr>
          <w:rFonts w:cs="Arial"/>
          <w:bCs/>
          <w:sz w:val="22"/>
          <w:szCs w:val="22"/>
          <w:lang w:val="es-ES_tradnl" w:eastAsia="es-ES_tradnl"/>
        </w:rPr>
        <w:t>C</w:t>
      </w:r>
      <w:r w:rsidR="00AD2B40" w:rsidRPr="006E6A15">
        <w:rPr>
          <w:rFonts w:cs="Arial"/>
          <w:bCs/>
          <w:sz w:val="22"/>
          <w:szCs w:val="22"/>
          <w:lang w:val="es-ES_tradnl" w:eastAsia="es-ES_tradnl"/>
        </w:rPr>
        <w:t>uando se detecte que</w:t>
      </w:r>
      <w:r w:rsidR="00316CB3" w:rsidRPr="006E6A15">
        <w:rPr>
          <w:rFonts w:cs="Arial"/>
          <w:bCs/>
          <w:sz w:val="22"/>
          <w:szCs w:val="22"/>
          <w:lang w:val="es-ES_tradnl" w:eastAsia="es-ES_tradnl"/>
        </w:rPr>
        <w:t xml:space="preserve"> una</w:t>
      </w:r>
      <w:r w:rsidR="00AD2B40" w:rsidRPr="006E6A15">
        <w:rPr>
          <w:rFonts w:cs="Arial"/>
          <w:bCs/>
          <w:sz w:val="22"/>
          <w:szCs w:val="22"/>
          <w:lang w:val="es-ES_tradnl" w:eastAsia="es-ES_tradnl"/>
        </w:rPr>
        <w:t xml:space="preserve"> construcción o cubierta superan lo previsto por el PDT respecto al Factor de Ocupación del Suelo en cada distrito, </w:t>
      </w:r>
      <w:r w:rsidR="00316CB3" w:rsidRPr="006E6A15">
        <w:rPr>
          <w:rFonts w:cs="Arial"/>
          <w:bCs/>
          <w:sz w:val="22"/>
          <w:szCs w:val="22"/>
          <w:lang w:val="es-ES_tradnl" w:eastAsia="es-ES_tradnl"/>
        </w:rPr>
        <w:t xml:space="preserve">aplíquese una </w:t>
      </w:r>
      <w:r w:rsidR="00AD2B40" w:rsidRPr="006E6A15">
        <w:rPr>
          <w:rFonts w:cs="Arial"/>
          <w:bCs/>
          <w:sz w:val="22"/>
          <w:szCs w:val="22"/>
          <w:lang w:val="es-ES_tradnl" w:eastAsia="es-ES_tradnl"/>
        </w:rPr>
        <w:t xml:space="preserve">multa </w:t>
      </w:r>
      <w:r w:rsidR="00316CB3" w:rsidRPr="006E6A15">
        <w:rPr>
          <w:rFonts w:cs="Arial"/>
          <w:bCs/>
          <w:sz w:val="22"/>
          <w:szCs w:val="22"/>
          <w:lang w:val="es-ES_tradnl" w:eastAsia="es-ES_tradnl"/>
        </w:rPr>
        <w:t>correspondiente</w:t>
      </w:r>
      <w:r w:rsidR="000F11CB" w:rsidRPr="006E6A15">
        <w:rPr>
          <w:rFonts w:cs="Arial"/>
          <w:bCs/>
          <w:sz w:val="22"/>
          <w:szCs w:val="22"/>
          <w:lang w:val="es-ES_tradnl" w:eastAsia="es-ES_tradnl"/>
        </w:rPr>
        <w:t xml:space="preserve"> al</w:t>
      </w:r>
      <w:r w:rsidR="00316CB3" w:rsidRPr="006E6A15">
        <w:rPr>
          <w:rFonts w:cs="Arial"/>
          <w:bCs/>
          <w:sz w:val="22"/>
          <w:szCs w:val="22"/>
          <w:lang w:val="es-ES_tradnl" w:eastAsia="es-ES_tradnl"/>
        </w:rPr>
        <w:t xml:space="preserve"> </w:t>
      </w:r>
      <w:r w:rsidR="00AD2B40" w:rsidRPr="006E6A15">
        <w:rPr>
          <w:rFonts w:cs="Arial"/>
          <w:bCs/>
          <w:sz w:val="22"/>
          <w:szCs w:val="22"/>
          <w:lang w:val="es-ES_tradnl" w:eastAsia="es-ES_tradnl"/>
        </w:rPr>
        <w:t>porcentaje de ocupación del sector que debería estar libre</w:t>
      </w:r>
      <w:r w:rsidR="00E902F4" w:rsidRPr="006E6A15">
        <w:rPr>
          <w:rFonts w:cs="Arial"/>
          <w:bCs/>
          <w:sz w:val="22"/>
          <w:szCs w:val="22"/>
          <w:lang w:val="es-ES_tradnl" w:eastAsia="es-ES_tradnl"/>
        </w:rPr>
        <w:t>.</w:t>
      </w:r>
      <w:bookmarkStart w:id="1" w:name="_Hlk192161016"/>
    </w:p>
    <w:p w:rsidR="00AD2B40" w:rsidRPr="006E6A15" w:rsidRDefault="00A4648D" w:rsidP="006E6A15">
      <w:pPr>
        <w:spacing w:before="120" w:line="360" w:lineRule="auto"/>
        <w:jc w:val="both"/>
        <w:rPr>
          <w:rFonts w:cs="Arial"/>
          <w:b/>
          <w:bCs/>
          <w:sz w:val="22"/>
          <w:szCs w:val="22"/>
          <w:u w:val="single"/>
          <w:lang w:val="es-ES_tradnl" w:eastAsia="es-ES_tradnl"/>
        </w:rPr>
      </w:pPr>
      <w:r w:rsidRPr="006E6A15">
        <w:rPr>
          <w:rFonts w:cs="Arial"/>
          <w:b/>
          <w:bCs/>
          <w:sz w:val="22"/>
          <w:szCs w:val="22"/>
          <w:u w:val="single"/>
          <w:lang w:val="es-ES_tradnl" w:eastAsia="es-ES_tradnl"/>
        </w:rPr>
        <w:t xml:space="preserve">Artículo </w:t>
      </w:r>
      <w:r w:rsidR="000F11CB" w:rsidRPr="006E6A15">
        <w:rPr>
          <w:rFonts w:cs="Arial"/>
          <w:b/>
          <w:bCs/>
          <w:sz w:val="22"/>
          <w:szCs w:val="22"/>
          <w:u w:val="single"/>
          <w:lang w:val="es-ES_tradnl" w:eastAsia="es-ES_tradnl"/>
        </w:rPr>
        <w:t>4</w:t>
      </w:r>
      <w:r w:rsidRPr="006E6A15">
        <w:rPr>
          <w:rFonts w:cs="Arial"/>
          <w:b/>
          <w:bCs/>
          <w:sz w:val="22"/>
          <w:szCs w:val="22"/>
          <w:u w:val="single"/>
          <w:lang w:val="es-ES_tradnl" w:eastAsia="es-ES_tradnl"/>
        </w:rPr>
        <w:t>:</w:t>
      </w:r>
      <w:r w:rsidR="006F4747" w:rsidRPr="006E6A15">
        <w:rPr>
          <w:rFonts w:cs="Arial"/>
          <w:bCs/>
          <w:sz w:val="22"/>
          <w:szCs w:val="22"/>
          <w:lang w:val="es-ES_tradnl" w:eastAsia="es-ES_tradnl"/>
        </w:rPr>
        <w:t xml:space="preserve"> </w:t>
      </w:r>
      <w:bookmarkEnd w:id="1"/>
      <w:r w:rsidR="00AD2B40" w:rsidRPr="006E6A15">
        <w:rPr>
          <w:rFonts w:cs="Arial"/>
          <w:bCs/>
          <w:sz w:val="22"/>
          <w:szCs w:val="22"/>
          <w:lang w:val="es-ES_tradnl" w:eastAsia="es-ES_tradnl"/>
        </w:rPr>
        <w:t>Se realizará la notificación de la sanción correspondiente a través de los procedimientos previstos en la Ordenanza Fiscal vigente, incorporándose luego la multa en la liquidación de la Tasa por Servicios Generales</w:t>
      </w:r>
      <w:r w:rsidR="00457D12" w:rsidRPr="006E6A15">
        <w:rPr>
          <w:rFonts w:cs="Arial"/>
          <w:bCs/>
          <w:sz w:val="22"/>
          <w:szCs w:val="22"/>
          <w:lang w:val="es-ES_tradnl" w:eastAsia="es-ES_tradnl"/>
        </w:rPr>
        <w:t xml:space="preserve"> y/o Servicios Sanitarios, según corresponda</w:t>
      </w:r>
      <w:r w:rsidR="00AD2B40" w:rsidRPr="006E6A15">
        <w:rPr>
          <w:rFonts w:cs="Arial"/>
          <w:bCs/>
          <w:sz w:val="22"/>
          <w:szCs w:val="22"/>
          <w:lang w:val="es-ES_tradnl" w:eastAsia="es-ES_tradnl"/>
        </w:rPr>
        <w:t>, donde se intimará a regularizar la situación</w:t>
      </w:r>
      <w:r w:rsidR="006B2CB6" w:rsidRPr="006E6A15">
        <w:rPr>
          <w:rFonts w:cs="Arial"/>
          <w:bCs/>
          <w:sz w:val="22"/>
          <w:szCs w:val="22"/>
          <w:lang w:val="es-ES_tradnl" w:eastAsia="es-ES_tradnl"/>
        </w:rPr>
        <w:t xml:space="preserve"> dentro del ejercicio en que se detectó</w:t>
      </w:r>
      <w:r w:rsidR="00AD2B40" w:rsidRPr="006E6A15">
        <w:rPr>
          <w:rFonts w:cs="Arial"/>
          <w:bCs/>
          <w:sz w:val="22"/>
          <w:szCs w:val="22"/>
          <w:lang w:val="es-ES_tradnl" w:eastAsia="es-ES_tradnl"/>
        </w:rPr>
        <w:t>. Hasta tanto el contribuyente acredite que ha adecuado las construcciones</w:t>
      </w:r>
      <w:r w:rsidR="004A0645" w:rsidRPr="006E6A15">
        <w:rPr>
          <w:rFonts w:cs="Arial"/>
          <w:bCs/>
          <w:sz w:val="22"/>
          <w:szCs w:val="22"/>
          <w:lang w:val="es-ES_tradnl" w:eastAsia="es-ES_tradnl"/>
        </w:rPr>
        <w:t xml:space="preserve"> e infraestructura a la normativa vigente</w:t>
      </w:r>
      <w:r w:rsidR="001C39DF" w:rsidRPr="006E6A15">
        <w:rPr>
          <w:rFonts w:cs="Arial"/>
          <w:bCs/>
          <w:sz w:val="22"/>
          <w:szCs w:val="22"/>
          <w:lang w:val="es-ES_tradnl" w:eastAsia="es-ES_tradnl"/>
        </w:rPr>
        <w:t xml:space="preserve">; </w:t>
      </w:r>
      <w:r w:rsidR="00AD2B40" w:rsidRPr="006E6A15">
        <w:rPr>
          <w:rFonts w:cs="Arial"/>
          <w:bCs/>
          <w:sz w:val="22"/>
          <w:szCs w:val="22"/>
          <w:lang w:val="es-ES_tradnl" w:eastAsia="es-ES_tradnl"/>
        </w:rPr>
        <w:t xml:space="preserve">se considerará </w:t>
      </w:r>
      <w:r w:rsidR="006B2CB6" w:rsidRPr="006E6A15">
        <w:rPr>
          <w:rFonts w:cs="Arial"/>
          <w:bCs/>
          <w:sz w:val="22"/>
          <w:szCs w:val="22"/>
          <w:lang w:val="es-ES_tradnl" w:eastAsia="es-ES_tradnl"/>
        </w:rPr>
        <w:t xml:space="preserve">una nueva </w:t>
      </w:r>
      <w:r w:rsidR="00BE0D8B" w:rsidRPr="006E6A15">
        <w:rPr>
          <w:rFonts w:cs="Arial"/>
          <w:bCs/>
          <w:sz w:val="22"/>
          <w:szCs w:val="22"/>
          <w:lang w:val="es-ES_tradnl" w:eastAsia="es-ES_tradnl"/>
        </w:rPr>
        <w:t>falta en cada ejercicio fiscal, considerándose válida la notificación cursada a través de la boleta de la Tasa por Servicios Generales, y liquidándose la multa en los términos previsto</w:t>
      </w:r>
      <w:r w:rsidR="00FC4D64" w:rsidRPr="006E6A15">
        <w:rPr>
          <w:rFonts w:cs="Arial"/>
          <w:bCs/>
          <w:sz w:val="22"/>
          <w:szCs w:val="22"/>
          <w:lang w:val="es-ES_tradnl" w:eastAsia="es-ES_tradnl"/>
        </w:rPr>
        <w:t>s</w:t>
      </w:r>
      <w:r w:rsidR="00BE0D8B" w:rsidRPr="006E6A15">
        <w:rPr>
          <w:rFonts w:cs="Arial"/>
          <w:bCs/>
          <w:sz w:val="22"/>
          <w:szCs w:val="22"/>
          <w:lang w:val="es-ES_tradnl" w:eastAsia="es-ES_tradnl"/>
        </w:rPr>
        <w:t xml:space="preserve"> en el artículo 1º.</w:t>
      </w:r>
      <w:r w:rsidR="006B2CB6" w:rsidRPr="006E6A15">
        <w:rPr>
          <w:rFonts w:cs="Arial"/>
          <w:bCs/>
          <w:sz w:val="22"/>
          <w:szCs w:val="22"/>
          <w:lang w:val="es-ES_tradnl" w:eastAsia="es-ES_tradnl"/>
        </w:rPr>
        <w:t xml:space="preserve"> </w:t>
      </w:r>
    </w:p>
    <w:p w:rsidR="0049309E" w:rsidRPr="006E6A15" w:rsidRDefault="008464AB" w:rsidP="006E6A15">
      <w:pPr>
        <w:spacing w:before="120" w:line="360" w:lineRule="auto"/>
        <w:jc w:val="both"/>
        <w:rPr>
          <w:rFonts w:cs="Arial"/>
          <w:b/>
          <w:bCs/>
          <w:sz w:val="22"/>
          <w:szCs w:val="22"/>
          <w:u w:val="single"/>
          <w:lang w:val="es-ES_tradnl" w:eastAsia="es-ES_tradnl"/>
        </w:rPr>
      </w:pPr>
      <w:r w:rsidRPr="006E6A15">
        <w:rPr>
          <w:rFonts w:cs="Arial"/>
          <w:b/>
          <w:bCs/>
          <w:sz w:val="22"/>
          <w:szCs w:val="22"/>
          <w:u w:val="single"/>
          <w:lang w:val="es-ES_tradnl" w:eastAsia="es-ES_tradnl"/>
        </w:rPr>
        <w:lastRenderedPageBreak/>
        <w:t xml:space="preserve">Artículo </w:t>
      </w:r>
      <w:r w:rsidR="000F11CB" w:rsidRPr="006E6A15">
        <w:rPr>
          <w:rFonts w:cs="Arial"/>
          <w:b/>
          <w:bCs/>
          <w:sz w:val="22"/>
          <w:szCs w:val="22"/>
          <w:u w:val="single"/>
          <w:lang w:val="es-ES_tradnl" w:eastAsia="es-ES_tradnl"/>
        </w:rPr>
        <w:t>5</w:t>
      </w:r>
      <w:r w:rsidRPr="006E6A15">
        <w:rPr>
          <w:rFonts w:cs="Arial"/>
          <w:b/>
          <w:bCs/>
          <w:sz w:val="22"/>
          <w:szCs w:val="22"/>
          <w:u w:val="single"/>
          <w:lang w:val="es-ES_tradnl" w:eastAsia="es-ES_tradnl"/>
        </w:rPr>
        <w:t>º:</w:t>
      </w:r>
      <w:r w:rsidRPr="006E6A15">
        <w:rPr>
          <w:rFonts w:cs="Arial"/>
          <w:bCs/>
          <w:sz w:val="22"/>
          <w:szCs w:val="22"/>
          <w:lang w:val="es-ES_tradnl" w:eastAsia="es-ES_tradnl"/>
        </w:rPr>
        <w:t xml:space="preserve"> </w:t>
      </w:r>
      <w:r w:rsidR="00AE79AA" w:rsidRPr="006E6A15">
        <w:rPr>
          <w:rFonts w:cs="Arial"/>
          <w:bCs/>
          <w:sz w:val="22"/>
          <w:szCs w:val="22"/>
          <w:lang w:val="es-ES_tradnl" w:eastAsia="es-ES_tradnl"/>
        </w:rPr>
        <w:t>De forma.</w:t>
      </w:r>
    </w:p>
    <w:sectPr w:rsidR="0049309E" w:rsidRPr="006E6A15" w:rsidSect="006E6A15">
      <w:headerReference w:type="default" r:id="rId8"/>
      <w:pgSz w:w="11907" w:h="16840" w:code="9"/>
      <w:pgMar w:top="1677" w:right="1559" w:bottom="851" w:left="1985" w:header="568"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A3D" w:rsidRDefault="004E0A3D">
      <w:r>
        <w:separator/>
      </w:r>
    </w:p>
  </w:endnote>
  <w:endnote w:type="continuationSeparator" w:id="0">
    <w:p w:rsidR="004E0A3D" w:rsidRDefault="004E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A3D" w:rsidRDefault="004E0A3D">
      <w:r>
        <w:separator/>
      </w:r>
    </w:p>
  </w:footnote>
  <w:footnote w:type="continuationSeparator" w:id="0">
    <w:p w:rsidR="004E0A3D" w:rsidRDefault="004E0A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A15" w:rsidRDefault="006E6A15">
    <w:pPr>
      <w:pStyle w:val="Encabezado"/>
    </w:pPr>
    <w:r>
      <w:rPr>
        <w:noProof/>
        <w:lang w:val="en-US" w:eastAsia="en-US"/>
      </w:rPr>
      <w:drawing>
        <wp:inline distT="0" distB="0" distL="0" distR="0" wp14:anchorId="74D8007F" wp14:editId="1D97FCE1">
          <wp:extent cx="5308855" cy="5400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cstate="print">
                    <a:extLst>
                      <a:ext uri="{28A0092B-C50C-407E-A947-70E740481C1C}">
                        <a14:useLocalDpi xmlns:a14="http://schemas.microsoft.com/office/drawing/2010/main" val="0"/>
                      </a:ext>
                    </a:extLst>
                  </a:blip>
                  <a:srcRect l="7543" t="25355" r="7441" b="26754"/>
                  <a:stretch/>
                </pic:blipFill>
                <pic:spPr bwMode="auto">
                  <a:xfrm>
                    <a:off x="0" y="0"/>
                    <a:ext cx="5308855" cy="54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6619F"/>
    <w:multiLevelType w:val="hybridMultilevel"/>
    <w:tmpl w:val="6714D61A"/>
    <w:lvl w:ilvl="0" w:tplc="87541FCE">
      <w:numFmt w:val="bullet"/>
      <w:lvlText w:val="-"/>
      <w:lvlJc w:val="left"/>
      <w:pPr>
        <w:ind w:left="720" w:hanging="360"/>
      </w:pPr>
      <w:rPr>
        <w:rFonts w:ascii="Tahoma" w:eastAsia="MS Mincho"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06653BF"/>
    <w:multiLevelType w:val="hybridMultilevel"/>
    <w:tmpl w:val="70D2A9D4"/>
    <w:lvl w:ilvl="0" w:tplc="5F38754C">
      <w:numFmt w:val="bullet"/>
      <w:lvlText w:val="-"/>
      <w:lvlJc w:val="left"/>
      <w:pPr>
        <w:ind w:left="720" w:hanging="360"/>
      </w:pPr>
      <w:rPr>
        <w:rFonts w:ascii="Tahoma" w:eastAsia="MS Mincho"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951361A"/>
    <w:multiLevelType w:val="hybridMultilevel"/>
    <w:tmpl w:val="63E8433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625083"/>
    <w:multiLevelType w:val="hybridMultilevel"/>
    <w:tmpl w:val="22DA5EE0"/>
    <w:lvl w:ilvl="0" w:tplc="C1D6B362">
      <w:start w:val="2012"/>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43ED3"/>
    <w:multiLevelType w:val="hybridMultilevel"/>
    <w:tmpl w:val="76ECCC72"/>
    <w:lvl w:ilvl="0" w:tplc="B838C978">
      <w:numFmt w:val="bullet"/>
      <w:lvlText w:val="-"/>
      <w:lvlJc w:val="left"/>
      <w:pPr>
        <w:ind w:left="720" w:hanging="360"/>
      </w:pPr>
      <w:rPr>
        <w:rFonts w:ascii="Tahoma" w:eastAsia="MS Mincho"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E8B3E58"/>
    <w:multiLevelType w:val="hybridMultilevel"/>
    <w:tmpl w:val="2D08EFCA"/>
    <w:lvl w:ilvl="0" w:tplc="E820CD78">
      <w:numFmt w:val="bullet"/>
      <w:lvlText w:val="-"/>
      <w:lvlJc w:val="left"/>
      <w:pPr>
        <w:ind w:left="720" w:hanging="360"/>
      </w:pPr>
      <w:rPr>
        <w:rFonts w:ascii="Tahoma" w:eastAsia="MS Mincho"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096393C"/>
    <w:multiLevelType w:val="hybridMultilevel"/>
    <w:tmpl w:val="2F423CAA"/>
    <w:lvl w:ilvl="0" w:tplc="2C3673BA">
      <w:start w:val="2013"/>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933798"/>
    <w:multiLevelType w:val="hybridMultilevel"/>
    <w:tmpl w:val="66FC5C0A"/>
    <w:lvl w:ilvl="0" w:tplc="407069EE">
      <w:start w:val="1"/>
      <w:numFmt w:val="decimal"/>
      <w:lvlText w:val="%1)"/>
      <w:lvlJc w:val="left"/>
      <w:pPr>
        <w:ind w:left="1530" w:hanging="360"/>
      </w:pPr>
      <w:rPr>
        <w:rFonts w:hint="default"/>
      </w:rPr>
    </w:lvl>
    <w:lvl w:ilvl="1" w:tplc="2C0A0019" w:tentative="1">
      <w:start w:val="1"/>
      <w:numFmt w:val="lowerLetter"/>
      <w:lvlText w:val="%2."/>
      <w:lvlJc w:val="left"/>
      <w:pPr>
        <w:ind w:left="2250" w:hanging="360"/>
      </w:pPr>
    </w:lvl>
    <w:lvl w:ilvl="2" w:tplc="2C0A001B" w:tentative="1">
      <w:start w:val="1"/>
      <w:numFmt w:val="lowerRoman"/>
      <w:lvlText w:val="%3."/>
      <w:lvlJc w:val="right"/>
      <w:pPr>
        <w:ind w:left="2970" w:hanging="180"/>
      </w:pPr>
    </w:lvl>
    <w:lvl w:ilvl="3" w:tplc="2C0A000F" w:tentative="1">
      <w:start w:val="1"/>
      <w:numFmt w:val="decimal"/>
      <w:lvlText w:val="%4."/>
      <w:lvlJc w:val="left"/>
      <w:pPr>
        <w:ind w:left="3690" w:hanging="360"/>
      </w:pPr>
    </w:lvl>
    <w:lvl w:ilvl="4" w:tplc="2C0A0019" w:tentative="1">
      <w:start w:val="1"/>
      <w:numFmt w:val="lowerLetter"/>
      <w:lvlText w:val="%5."/>
      <w:lvlJc w:val="left"/>
      <w:pPr>
        <w:ind w:left="4410" w:hanging="360"/>
      </w:pPr>
    </w:lvl>
    <w:lvl w:ilvl="5" w:tplc="2C0A001B" w:tentative="1">
      <w:start w:val="1"/>
      <w:numFmt w:val="lowerRoman"/>
      <w:lvlText w:val="%6."/>
      <w:lvlJc w:val="right"/>
      <w:pPr>
        <w:ind w:left="5130" w:hanging="180"/>
      </w:pPr>
    </w:lvl>
    <w:lvl w:ilvl="6" w:tplc="2C0A000F" w:tentative="1">
      <w:start w:val="1"/>
      <w:numFmt w:val="decimal"/>
      <w:lvlText w:val="%7."/>
      <w:lvlJc w:val="left"/>
      <w:pPr>
        <w:ind w:left="5850" w:hanging="360"/>
      </w:pPr>
    </w:lvl>
    <w:lvl w:ilvl="7" w:tplc="2C0A0019" w:tentative="1">
      <w:start w:val="1"/>
      <w:numFmt w:val="lowerLetter"/>
      <w:lvlText w:val="%8."/>
      <w:lvlJc w:val="left"/>
      <w:pPr>
        <w:ind w:left="6570" w:hanging="360"/>
      </w:pPr>
    </w:lvl>
    <w:lvl w:ilvl="8" w:tplc="2C0A001B" w:tentative="1">
      <w:start w:val="1"/>
      <w:numFmt w:val="lowerRoman"/>
      <w:lvlText w:val="%9."/>
      <w:lvlJc w:val="right"/>
      <w:pPr>
        <w:ind w:left="7290" w:hanging="180"/>
      </w:pPr>
    </w:lvl>
  </w:abstractNum>
  <w:abstractNum w:abstractNumId="8" w15:restartNumberingAfterBreak="0">
    <w:nsid w:val="3DE9629F"/>
    <w:multiLevelType w:val="hybridMultilevel"/>
    <w:tmpl w:val="6200F84C"/>
    <w:lvl w:ilvl="0" w:tplc="A776C754">
      <w:start w:val="1"/>
      <w:numFmt w:val="bullet"/>
      <w:lvlText w:val=""/>
      <w:lvlJc w:val="left"/>
      <w:pPr>
        <w:tabs>
          <w:tab w:val="num" w:pos="620"/>
        </w:tabs>
        <w:ind w:left="62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085319F"/>
    <w:multiLevelType w:val="hybridMultilevel"/>
    <w:tmpl w:val="0DEA0B4C"/>
    <w:lvl w:ilvl="0" w:tplc="7C6E00A4">
      <w:numFmt w:val="bullet"/>
      <w:lvlText w:val="-"/>
      <w:lvlJc w:val="left"/>
      <w:pPr>
        <w:ind w:left="720" w:hanging="360"/>
      </w:pPr>
      <w:rPr>
        <w:rFonts w:ascii="Tahoma" w:eastAsia="MS Mincho"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7826C46"/>
    <w:multiLevelType w:val="hybridMultilevel"/>
    <w:tmpl w:val="561C0864"/>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1" w15:restartNumberingAfterBreak="0">
    <w:nsid w:val="72F31F10"/>
    <w:multiLevelType w:val="hybridMultilevel"/>
    <w:tmpl w:val="D1AA0D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624396"/>
    <w:multiLevelType w:val="hybridMultilevel"/>
    <w:tmpl w:val="F1CE027C"/>
    <w:lvl w:ilvl="0" w:tplc="AF34F372">
      <w:numFmt w:val="bullet"/>
      <w:lvlText w:val="-"/>
      <w:lvlJc w:val="left"/>
      <w:pPr>
        <w:ind w:left="720" w:hanging="360"/>
      </w:pPr>
      <w:rPr>
        <w:rFonts w:ascii="Tahoma" w:eastAsia="MS Mincho" w:hAnsi="Tahoma" w:cs="Tahom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779E48FC"/>
    <w:multiLevelType w:val="hybridMultilevel"/>
    <w:tmpl w:val="D7569168"/>
    <w:lvl w:ilvl="0" w:tplc="AB964CBA">
      <w:start w:val="7130"/>
      <w:numFmt w:val="bullet"/>
      <w:lvlText w:val="-"/>
      <w:lvlJc w:val="left"/>
      <w:pPr>
        <w:ind w:left="720" w:hanging="360"/>
      </w:pPr>
      <w:rPr>
        <w:rFonts w:ascii="Tahoma" w:eastAsia="MS Mincho" w:hAnsi="Tahoma" w:cs="Tahoma" w:hint="default"/>
        <w:b/>
        <w:bCs/>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F8B5602"/>
    <w:multiLevelType w:val="hybridMultilevel"/>
    <w:tmpl w:val="BBDECB62"/>
    <w:lvl w:ilvl="0" w:tplc="0C0A0001">
      <w:start w:val="1"/>
      <w:numFmt w:val="bullet"/>
      <w:lvlText w:val=""/>
      <w:lvlJc w:val="left"/>
      <w:pPr>
        <w:tabs>
          <w:tab w:val="num" w:pos="1890"/>
        </w:tabs>
        <w:ind w:left="1890" w:hanging="360"/>
      </w:pPr>
      <w:rPr>
        <w:rFonts w:ascii="Symbol" w:hAnsi="Symbol" w:hint="default"/>
      </w:rPr>
    </w:lvl>
    <w:lvl w:ilvl="1" w:tplc="0C0A0003" w:tentative="1">
      <w:start w:val="1"/>
      <w:numFmt w:val="bullet"/>
      <w:lvlText w:val="o"/>
      <w:lvlJc w:val="left"/>
      <w:pPr>
        <w:tabs>
          <w:tab w:val="num" w:pos="2610"/>
        </w:tabs>
        <w:ind w:left="2610" w:hanging="360"/>
      </w:pPr>
      <w:rPr>
        <w:rFonts w:ascii="Courier New" w:hAnsi="Courier New" w:hint="default"/>
      </w:rPr>
    </w:lvl>
    <w:lvl w:ilvl="2" w:tplc="0C0A0005" w:tentative="1">
      <w:start w:val="1"/>
      <w:numFmt w:val="bullet"/>
      <w:lvlText w:val=""/>
      <w:lvlJc w:val="left"/>
      <w:pPr>
        <w:tabs>
          <w:tab w:val="num" w:pos="3330"/>
        </w:tabs>
        <w:ind w:left="3330" w:hanging="360"/>
      </w:pPr>
      <w:rPr>
        <w:rFonts w:ascii="Wingdings" w:hAnsi="Wingdings" w:hint="default"/>
      </w:rPr>
    </w:lvl>
    <w:lvl w:ilvl="3" w:tplc="0C0A0001" w:tentative="1">
      <w:start w:val="1"/>
      <w:numFmt w:val="bullet"/>
      <w:lvlText w:val=""/>
      <w:lvlJc w:val="left"/>
      <w:pPr>
        <w:tabs>
          <w:tab w:val="num" w:pos="4050"/>
        </w:tabs>
        <w:ind w:left="4050" w:hanging="360"/>
      </w:pPr>
      <w:rPr>
        <w:rFonts w:ascii="Symbol" w:hAnsi="Symbol" w:hint="default"/>
      </w:rPr>
    </w:lvl>
    <w:lvl w:ilvl="4" w:tplc="0C0A0003" w:tentative="1">
      <w:start w:val="1"/>
      <w:numFmt w:val="bullet"/>
      <w:lvlText w:val="o"/>
      <w:lvlJc w:val="left"/>
      <w:pPr>
        <w:tabs>
          <w:tab w:val="num" w:pos="4770"/>
        </w:tabs>
        <w:ind w:left="4770" w:hanging="360"/>
      </w:pPr>
      <w:rPr>
        <w:rFonts w:ascii="Courier New" w:hAnsi="Courier New" w:hint="default"/>
      </w:rPr>
    </w:lvl>
    <w:lvl w:ilvl="5" w:tplc="0C0A0005" w:tentative="1">
      <w:start w:val="1"/>
      <w:numFmt w:val="bullet"/>
      <w:lvlText w:val=""/>
      <w:lvlJc w:val="left"/>
      <w:pPr>
        <w:tabs>
          <w:tab w:val="num" w:pos="5490"/>
        </w:tabs>
        <w:ind w:left="5490" w:hanging="360"/>
      </w:pPr>
      <w:rPr>
        <w:rFonts w:ascii="Wingdings" w:hAnsi="Wingdings" w:hint="default"/>
      </w:rPr>
    </w:lvl>
    <w:lvl w:ilvl="6" w:tplc="0C0A0001" w:tentative="1">
      <w:start w:val="1"/>
      <w:numFmt w:val="bullet"/>
      <w:lvlText w:val=""/>
      <w:lvlJc w:val="left"/>
      <w:pPr>
        <w:tabs>
          <w:tab w:val="num" w:pos="6210"/>
        </w:tabs>
        <w:ind w:left="6210" w:hanging="360"/>
      </w:pPr>
      <w:rPr>
        <w:rFonts w:ascii="Symbol" w:hAnsi="Symbol" w:hint="default"/>
      </w:rPr>
    </w:lvl>
    <w:lvl w:ilvl="7" w:tplc="0C0A0003" w:tentative="1">
      <w:start w:val="1"/>
      <w:numFmt w:val="bullet"/>
      <w:lvlText w:val="o"/>
      <w:lvlJc w:val="left"/>
      <w:pPr>
        <w:tabs>
          <w:tab w:val="num" w:pos="6930"/>
        </w:tabs>
        <w:ind w:left="6930" w:hanging="360"/>
      </w:pPr>
      <w:rPr>
        <w:rFonts w:ascii="Courier New" w:hAnsi="Courier New" w:hint="default"/>
      </w:rPr>
    </w:lvl>
    <w:lvl w:ilvl="8" w:tplc="0C0A0005" w:tentative="1">
      <w:start w:val="1"/>
      <w:numFmt w:val="bullet"/>
      <w:lvlText w:val=""/>
      <w:lvlJc w:val="left"/>
      <w:pPr>
        <w:tabs>
          <w:tab w:val="num" w:pos="7650"/>
        </w:tabs>
        <w:ind w:left="7650" w:hanging="360"/>
      </w:pPr>
      <w:rPr>
        <w:rFonts w:ascii="Wingdings" w:hAnsi="Wingdings" w:hint="default"/>
      </w:rPr>
    </w:lvl>
  </w:abstractNum>
  <w:num w:numId="1">
    <w:abstractNumId w:val="14"/>
  </w:num>
  <w:num w:numId="2">
    <w:abstractNumId w:val="7"/>
  </w:num>
  <w:num w:numId="3">
    <w:abstractNumId w:val="3"/>
  </w:num>
  <w:num w:numId="4">
    <w:abstractNumId w:val="11"/>
  </w:num>
  <w:num w:numId="5">
    <w:abstractNumId w:val="2"/>
  </w:num>
  <w:num w:numId="6">
    <w:abstractNumId w:val="8"/>
  </w:num>
  <w:num w:numId="7">
    <w:abstractNumId w:val="6"/>
  </w:num>
  <w:num w:numId="8">
    <w:abstractNumId w:val="0"/>
  </w:num>
  <w:num w:numId="9">
    <w:abstractNumId w:val="5"/>
  </w:num>
  <w:num w:numId="10">
    <w:abstractNumId w:val="9"/>
  </w:num>
  <w:num w:numId="11">
    <w:abstractNumId w:val="12"/>
  </w:num>
  <w:num w:numId="12">
    <w:abstractNumId w:val="1"/>
  </w:num>
  <w:num w:numId="13">
    <w:abstractNumId w:val="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3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3B"/>
    <w:rsid w:val="000000B5"/>
    <w:rsid w:val="00005AD4"/>
    <w:rsid w:val="00006B4A"/>
    <w:rsid w:val="00007456"/>
    <w:rsid w:val="00014667"/>
    <w:rsid w:val="00015579"/>
    <w:rsid w:val="00020AAF"/>
    <w:rsid w:val="00025D8F"/>
    <w:rsid w:val="000322EB"/>
    <w:rsid w:val="00034BBA"/>
    <w:rsid w:val="00036332"/>
    <w:rsid w:val="000453B8"/>
    <w:rsid w:val="00045FA5"/>
    <w:rsid w:val="00050528"/>
    <w:rsid w:val="00050DFC"/>
    <w:rsid w:val="00050FD0"/>
    <w:rsid w:val="000535C0"/>
    <w:rsid w:val="00063D39"/>
    <w:rsid w:val="00063DC1"/>
    <w:rsid w:val="000752A9"/>
    <w:rsid w:val="000753E1"/>
    <w:rsid w:val="0007606F"/>
    <w:rsid w:val="00084163"/>
    <w:rsid w:val="000917B5"/>
    <w:rsid w:val="000923B4"/>
    <w:rsid w:val="00093F17"/>
    <w:rsid w:val="000968D7"/>
    <w:rsid w:val="00096A7D"/>
    <w:rsid w:val="000A2477"/>
    <w:rsid w:val="000A487B"/>
    <w:rsid w:val="000A53E8"/>
    <w:rsid w:val="000B69E4"/>
    <w:rsid w:val="000C7801"/>
    <w:rsid w:val="000D48B2"/>
    <w:rsid w:val="000E1841"/>
    <w:rsid w:val="000E2F97"/>
    <w:rsid w:val="000E75A8"/>
    <w:rsid w:val="000E7888"/>
    <w:rsid w:val="000F11CB"/>
    <w:rsid w:val="000F17B7"/>
    <w:rsid w:val="000F2716"/>
    <w:rsid w:val="000F3995"/>
    <w:rsid w:val="00103851"/>
    <w:rsid w:val="00104690"/>
    <w:rsid w:val="0011043E"/>
    <w:rsid w:val="0011150E"/>
    <w:rsid w:val="001172C1"/>
    <w:rsid w:val="00120E3A"/>
    <w:rsid w:val="00122B82"/>
    <w:rsid w:val="00125763"/>
    <w:rsid w:val="00125921"/>
    <w:rsid w:val="0013185E"/>
    <w:rsid w:val="00132171"/>
    <w:rsid w:val="00133CF3"/>
    <w:rsid w:val="00141F09"/>
    <w:rsid w:val="00144117"/>
    <w:rsid w:val="00144795"/>
    <w:rsid w:val="00150DFD"/>
    <w:rsid w:val="00152F4B"/>
    <w:rsid w:val="00153CD7"/>
    <w:rsid w:val="0015532B"/>
    <w:rsid w:val="00156D8A"/>
    <w:rsid w:val="00167B8B"/>
    <w:rsid w:val="00171524"/>
    <w:rsid w:val="00176216"/>
    <w:rsid w:val="0018066F"/>
    <w:rsid w:val="001837D7"/>
    <w:rsid w:val="00184077"/>
    <w:rsid w:val="00190B50"/>
    <w:rsid w:val="00192987"/>
    <w:rsid w:val="001A7DDD"/>
    <w:rsid w:val="001B22A3"/>
    <w:rsid w:val="001B2371"/>
    <w:rsid w:val="001B7B8D"/>
    <w:rsid w:val="001C1836"/>
    <w:rsid w:val="001C1858"/>
    <w:rsid w:val="001C252A"/>
    <w:rsid w:val="001C349B"/>
    <w:rsid w:val="001C393C"/>
    <w:rsid w:val="001C39DF"/>
    <w:rsid w:val="001C6A29"/>
    <w:rsid w:val="001D3721"/>
    <w:rsid w:val="001E226F"/>
    <w:rsid w:val="001E4232"/>
    <w:rsid w:val="001E52C0"/>
    <w:rsid w:val="001E5478"/>
    <w:rsid w:val="001E66F2"/>
    <w:rsid w:val="001E7F69"/>
    <w:rsid w:val="001F097A"/>
    <w:rsid w:val="001F3DCF"/>
    <w:rsid w:val="001F4ED3"/>
    <w:rsid w:val="001F6579"/>
    <w:rsid w:val="001F705E"/>
    <w:rsid w:val="001F7139"/>
    <w:rsid w:val="002020D1"/>
    <w:rsid w:val="00206A46"/>
    <w:rsid w:val="00210592"/>
    <w:rsid w:val="00210EDD"/>
    <w:rsid w:val="00223E55"/>
    <w:rsid w:val="002245C9"/>
    <w:rsid w:val="0022764C"/>
    <w:rsid w:val="00242FC8"/>
    <w:rsid w:val="00243AC5"/>
    <w:rsid w:val="00244C44"/>
    <w:rsid w:val="00245009"/>
    <w:rsid w:val="0024559F"/>
    <w:rsid w:val="00246498"/>
    <w:rsid w:val="00247CA3"/>
    <w:rsid w:val="00250BEE"/>
    <w:rsid w:val="002513BF"/>
    <w:rsid w:val="00257A70"/>
    <w:rsid w:val="00261532"/>
    <w:rsid w:val="00262443"/>
    <w:rsid w:val="002625C7"/>
    <w:rsid w:val="00262B1E"/>
    <w:rsid w:val="00266E17"/>
    <w:rsid w:val="00267347"/>
    <w:rsid w:val="00271AC9"/>
    <w:rsid w:val="00271DA2"/>
    <w:rsid w:val="00273BAB"/>
    <w:rsid w:val="00274C03"/>
    <w:rsid w:val="0027685B"/>
    <w:rsid w:val="00280EAE"/>
    <w:rsid w:val="00283E81"/>
    <w:rsid w:val="00284E41"/>
    <w:rsid w:val="002875C4"/>
    <w:rsid w:val="0029152C"/>
    <w:rsid w:val="00294F3B"/>
    <w:rsid w:val="00296869"/>
    <w:rsid w:val="002A144B"/>
    <w:rsid w:val="002A1C6D"/>
    <w:rsid w:val="002A3452"/>
    <w:rsid w:val="002A45F8"/>
    <w:rsid w:val="002A639D"/>
    <w:rsid w:val="002B5AA8"/>
    <w:rsid w:val="002B73AB"/>
    <w:rsid w:val="002B73FE"/>
    <w:rsid w:val="002C0788"/>
    <w:rsid w:val="002C50F8"/>
    <w:rsid w:val="002C57CD"/>
    <w:rsid w:val="002C6F51"/>
    <w:rsid w:val="002D6667"/>
    <w:rsid w:val="002D68A6"/>
    <w:rsid w:val="002E3A15"/>
    <w:rsid w:val="002E515D"/>
    <w:rsid w:val="002E683F"/>
    <w:rsid w:val="002F60EA"/>
    <w:rsid w:val="003003A2"/>
    <w:rsid w:val="00303590"/>
    <w:rsid w:val="003117A2"/>
    <w:rsid w:val="0031297E"/>
    <w:rsid w:val="00312E92"/>
    <w:rsid w:val="00315DD4"/>
    <w:rsid w:val="00316CB3"/>
    <w:rsid w:val="00320BEB"/>
    <w:rsid w:val="00323116"/>
    <w:rsid w:val="00336E1B"/>
    <w:rsid w:val="00341A24"/>
    <w:rsid w:val="003423C4"/>
    <w:rsid w:val="003439A2"/>
    <w:rsid w:val="00347A02"/>
    <w:rsid w:val="003513BA"/>
    <w:rsid w:val="00357A33"/>
    <w:rsid w:val="00370BF5"/>
    <w:rsid w:val="00381E97"/>
    <w:rsid w:val="00382DD1"/>
    <w:rsid w:val="00386D95"/>
    <w:rsid w:val="003933F9"/>
    <w:rsid w:val="003A1F2B"/>
    <w:rsid w:val="003A5814"/>
    <w:rsid w:val="003A60E4"/>
    <w:rsid w:val="003A6785"/>
    <w:rsid w:val="003B0505"/>
    <w:rsid w:val="003B11CE"/>
    <w:rsid w:val="003B1EEC"/>
    <w:rsid w:val="003B28B0"/>
    <w:rsid w:val="003B70FE"/>
    <w:rsid w:val="003B7D63"/>
    <w:rsid w:val="003C3AD0"/>
    <w:rsid w:val="003C56A7"/>
    <w:rsid w:val="003C6C2D"/>
    <w:rsid w:val="003D208B"/>
    <w:rsid w:val="003D2740"/>
    <w:rsid w:val="003D3435"/>
    <w:rsid w:val="003E363F"/>
    <w:rsid w:val="003E4D87"/>
    <w:rsid w:val="003E6804"/>
    <w:rsid w:val="003E6C41"/>
    <w:rsid w:val="003F29A0"/>
    <w:rsid w:val="003F7D38"/>
    <w:rsid w:val="00400D8B"/>
    <w:rsid w:val="004011AD"/>
    <w:rsid w:val="004029B5"/>
    <w:rsid w:val="00411644"/>
    <w:rsid w:val="0041166E"/>
    <w:rsid w:val="00420E05"/>
    <w:rsid w:val="00420E1B"/>
    <w:rsid w:val="004241CB"/>
    <w:rsid w:val="00424CE6"/>
    <w:rsid w:val="00434F8A"/>
    <w:rsid w:val="00436981"/>
    <w:rsid w:val="00442EAF"/>
    <w:rsid w:val="00443767"/>
    <w:rsid w:val="00444096"/>
    <w:rsid w:val="00452074"/>
    <w:rsid w:val="00457D12"/>
    <w:rsid w:val="00461717"/>
    <w:rsid w:val="004759FD"/>
    <w:rsid w:val="00476DDA"/>
    <w:rsid w:val="00482799"/>
    <w:rsid w:val="00483A98"/>
    <w:rsid w:val="00485997"/>
    <w:rsid w:val="0048604C"/>
    <w:rsid w:val="0049309E"/>
    <w:rsid w:val="004973A0"/>
    <w:rsid w:val="004A0645"/>
    <w:rsid w:val="004A0F3D"/>
    <w:rsid w:val="004A394F"/>
    <w:rsid w:val="004A4DC5"/>
    <w:rsid w:val="004A56EC"/>
    <w:rsid w:val="004A5C68"/>
    <w:rsid w:val="004B1855"/>
    <w:rsid w:val="004B5375"/>
    <w:rsid w:val="004B7B52"/>
    <w:rsid w:val="004B7E65"/>
    <w:rsid w:val="004C1733"/>
    <w:rsid w:val="004C407E"/>
    <w:rsid w:val="004C62B4"/>
    <w:rsid w:val="004C64F1"/>
    <w:rsid w:val="004D61E4"/>
    <w:rsid w:val="004D6F0D"/>
    <w:rsid w:val="004E0A3D"/>
    <w:rsid w:val="004E2E5D"/>
    <w:rsid w:val="004F2B20"/>
    <w:rsid w:val="004F47E7"/>
    <w:rsid w:val="00503E34"/>
    <w:rsid w:val="00505033"/>
    <w:rsid w:val="0050707D"/>
    <w:rsid w:val="00507688"/>
    <w:rsid w:val="00510301"/>
    <w:rsid w:val="00511B44"/>
    <w:rsid w:val="00512EDC"/>
    <w:rsid w:val="00515E2A"/>
    <w:rsid w:val="0052496D"/>
    <w:rsid w:val="00525789"/>
    <w:rsid w:val="0053616C"/>
    <w:rsid w:val="005577E0"/>
    <w:rsid w:val="00557B21"/>
    <w:rsid w:val="00557E69"/>
    <w:rsid w:val="005606F3"/>
    <w:rsid w:val="00566BD8"/>
    <w:rsid w:val="0057145A"/>
    <w:rsid w:val="00572AC7"/>
    <w:rsid w:val="00573A99"/>
    <w:rsid w:val="00574598"/>
    <w:rsid w:val="00575D6D"/>
    <w:rsid w:val="00577D07"/>
    <w:rsid w:val="0058249B"/>
    <w:rsid w:val="00583291"/>
    <w:rsid w:val="00584E1F"/>
    <w:rsid w:val="00586E10"/>
    <w:rsid w:val="00594099"/>
    <w:rsid w:val="00594785"/>
    <w:rsid w:val="0059657D"/>
    <w:rsid w:val="00596EAB"/>
    <w:rsid w:val="005A2353"/>
    <w:rsid w:val="005A333B"/>
    <w:rsid w:val="005A4FA6"/>
    <w:rsid w:val="005A5D90"/>
    <w:rsid w:val="005B0F92"/>
    <w:rsid w:val="005B3583"/>
    <w:rsid w:val="005B403E"/>
    <w:rsid w:val="005B647C"/>
    <w:rsid w:val="005C04F0"/>
    <w:rsid w:val="005C1574"/>
    <w:rsid w:val="005D2223"/>
    <w:rsid w:val="005D6765"/>
    <w:rsid w:val="005D7D70"/>
    <w:rsid w:val="005E6AA0"/>
    <w:rsid w:val="005F15C7"/>
    <w:rsid w:val="005F193D"/>
    <w:rsid w:val="00604AE8"/>
    <w:rsid w:val="006066CC"/>
    <w:rsid w:val="006108B5"/>
    <w:rsid w:val="0062333E"/>
    <w:rsid w:val="00625834"/>
    <w:rsid w:val="0062588C"/>
    <w:rsid w:val="00625C8C"/>
    <w:rsid w:val="0062661A"/>
    <w:rsid w:val="00626D67"/>
    <w:rsid w:val="00630BCE"/>
    <w:rsid w:val="00642481"/>
    <w:rsid w:val="00643F7F"/>
    <w:rsid w:val="006474C7"/>
    <w:rsid w:val="006610DF"/>
    <w:rsid w:val="00663C99"/>
    <w:rsid w:val="00664D7F"/>
    <w:rsid w:val="00665C2F"/>
    <w:rsid w:val="0066652A"/>
    <w:rsid w:val="00667B20"/>
    <w:rsid w:val="006735F7"/>
    <w:rsid w:val="006812DF"/>
    <w:rsid w:val="006828D0"/>
    <w:rsid w:val="006830FF"/>
    <w:rsid w:val="006851A5"/>
    <w:rsid w:val="006874D1"/>
    <w:rsid w:val="006904D4"/>
    <w:rsid w:val="0069421D"/>
    <w:rsid w:val="00694E33"/>
    <w:rsid w:val="00695B38"/>
    <w:rsid w:val="00696444"/>
    <w:rsid w:val="006A1361"/>
    <w:rsid w:val="006A4D2E"/>
    <w:rsid w:val="006A778E"/>
    <w:rsid w:val="006B0EEE"/>
    <w:rsid w:val="006B2CB6"/>
    <w:rsid w:val="006B3E3C"/>
    <w:rsid w:val="006C20C7"/>
    <w:rsid w:val="006C4E18"/>
    <w:rsid w:val="006C74F1"/>
    <w:rsid w:val="006D2F67"/>
    <w:rsid w:val="006E2241"/>
    <w:rsid w:val="006E34BC"/>
    <w:rsid w:val="006E4BDE"/>
    <w:rsid w:val="006E66A2"/>
    <w:rsid w:val="006E6A15"/>
    <w:rsid w:val="006F2E0B"/>
    <w:rsid w:val="006F437D"/>
    <w:rsid w:val="006F4747"/>
    <w:rsid w:val="006F72EA"/>
    <w:rsid w:val="00701C19"/>
    <w:rsid w:val="007139CC"/>
    <w:rsid w:val="00716855"/>
    <w:rsid w:val="007175C0"/>
    <w:rsid w:val="007201C8"/>
    <w:rsid w:val="00723CF8"/>
    <w:rsid w:val="00726AC3"/>
    <w:rsid w:val="00727262"/>
    <w:rsid w:val="00732A97"/>
    <w:rsid w:val="007332AF"/>
    <w:rsid w:val="007353A3"/>
    <w:rsid w:val="00735A22"/>
    <w:rsid w:val="00735E46"/>
    <w:rsid w:val="0073668E"/>
    <w:rsid w:val="007468E5"/>
    <w:rsid w:val="00751DEE"/>
    <w:rsid w:val="00753961"/>
    <w:rsid w:val="00762A57"/>
    <w:rsid w:val="00762EF6"/>
    <w:rsid w:val="00766C84"/>
    <w:rsid w:val="00770E3A"/>
    <w:rsid w:val="007718F7"/>
    <w:rsid w:val="00777369"/>
    <w:rsid w:val="00781FA0"/>
    <w:rsid w:val="00784058"/>
    <w:rsid w:val="00786818"/>
    <w:rsid w:val="00797501"/>
    <w:rsid w:val="007A2AC6"/>
    <w:rsid w:val="007A417E"/>
    <w:rsid w:val="007B264F"/>
    <w:rsid w:val="007B3936"/>
    <w:rsid w:val="007B4862"/>
    <w:rsid w:val="007B6C82"/>
    <w:rsid w:val="007C34FD"/>
    <w:rsid w:val="007C5882"/>
    <w:rsid w:val="007D183E"/>
    <w:rsid w:val="007D350B"/>
    <w:rsid w:val="007D4085"/>
    <w:rsid w:val="007E34A7"/>
    <w:rsid w:val="007F3BED"/>
    <w:rsid w:val="008045E4"/>
    <w:rsid w:val="008050B2"/>
    <w:rsid w:val="0080729B"/>
    <w:rsid w:val="008127D9"/>
    <w:rsid w:val="008128F1"/>
    <w:rsid w:val="00814591"/>
    <w:rsid w:val="00824093"/>
    <w:rsid w:val="0082494F"/>
    <w:rsid w:val="00824CCC"/>
    <w:rsid w:val="00831217"/>
    <w:rsid w:val="00836B56"/>
    <w:rsid w:val="008444DC"/>
    <w:rsid w:val="008464AB"/>
    <w:rsid w:val="00846C42"/>
    <w:rsid w:val="008531A7"/>
    <w:rsid w:val="0085611D"/>
    <w:rsid w:val="00860B84"/>
    <w:rsid w:val="00860CF5"/>
    <w:rsid w:val="00861828"/>
    <w:rsid w:val="00863C27"/>
    <w:rsid w:val="008722D0"/>
    <w:rsid w:val="00880C37"/>
    <w:rsid w:val="008A36D5"/>
    <w:rsid w:val="008A3A0D"/>
    <w:rsid w:val="008B1837"/>
    <w:rsid w:val="008B6A29"/>
    <w:rsid w:val="008B72D3"/>
    <w:rsid w:val="008B7908"/>
    <w:rsid w:val="008B79AA"/>
    <w:rsid w:val="008C33E2"/>
    <w:rsid w:val="008C479D"/>
    <w:rsid w:val="008C529A"/>
    <w:rsid w:val="008C5E47"/>
    <w:rsid w:val="008C626D"/>
    <w:rsid w:val="008C787B"/>
    <w:rsid w:val="008E2C02"/>
    <w:rsid w:val="008E639A"/>
    <w:rsid w:val="008E6A9C"/>
    <w:rsid w:val="008F0B9A"/>
    <w:rsid w:val="008F1E62"/>
    <w:rsid w:val="008F46E1"/>
    <w:rsid w:val="00901431"/>
    <w:rsid w:val="00905661"/>
    <w:rsid w:val="00906D2A"/>
    <w:rsid w:val="0091329D"/>
    <w:rsid w:val="009168E8"/>
    <w:rsid w:val="009208E2"/>
    <w:rsid w:val="00920C6F"/>
    <w:rsid w:val="00931404"/>
    <w:rsid w:val="0093527D"/>
    <w:rsid w:val="0094223A"/>
    <w:rsid w:val="00942DD7"/>
    <w:rsid w:val="009453D7"/>
    <w:rsid w:val="00946CDC"/>
    <w:rsid w:val="009624D9"/>
    <w:rsid w:val="00971331"/>
    <w:rsid w:val="00971C88"/>
    <w:rsid w:val="009731DB"/>
    <w:rsid w:val="00973B36"/>
    <w:rsid w:val="009771B6"/>
    <w:rsid w:val="009860D5"/>
    <w:rsid w:val="00987CA3"/>
    <w:rsid w:val="00996371"/>
    <w:rsid w:val="00997328"/>
    <w:rsid w:val="009A35B3"/>
    <w:rsid w:val="009A3FD9"/>
    <w:rsid w:val="009A497A"/>
    <w:rsid w:val="009A4A5E"/>
    <w:rsid w:val="009B09C1"/>
    <w:rsid w:val="009B4839"/>
    <w:rsid w:val="009B4B5F"/>
    <w:rsid w:val="009C0272"/>
    <w:rsid w:val="009C143D"/>
    <w:rsid w:val="009C2FE0"/>
    <w:rsid w:val="009C6FBA"/>
    <w:rsid w:val="009D0553"/>
    <w:rsid w:val="009D40BA"/>
    <w:rsid w:val="009D4A36"/>
    <w:rsid w:val="009D7065"/>
    <w:rsid w:val="009E1251"/>
    <w:rsid w:val="009E259C"/>
    <w:rsid w:val="009E7645"/>
    <w:rsid w:val="009F2716"/>
    <w:rsid w:val="009F3EDE"/>
    <w:rsid w:val="009F4F2D"/>
    <w:rsid w:val="00A02C9B"/>
    <w:rsid w:val="00A235B8"/>
    <w:rsid w:val="00A23A42"/>
    <w:rsid w:val="00A311CB"/>
    <w:rsid w:val="00A343E7"/>
    <w:rsid w:val="00A367AB"/>
    <w:rsid w:val="00A43A99"/>
    <w:rsid w:val="00A4622E"/>
    <w:rsid w:val="00A4648D"/>
    <w:rsid w:val="00A47B09"/>
    <w:rsid w:val="00A50429"/>
    <w:rsid w:val="00A51CDF"/>
    <w:rsid w:val="00A52CE0"/>
    <w:rsid w:val="00A5560A"/>
    <w:rsid w:val="00A56CC1"/>
    <w:rsid w:val="00A56CD3"/>
    <w:rsid w:val="00A7131C"/>
    <w:rsid w:val="00A732C4"/>
    <w:rsid w:val="00A75E36"/>
    <w:rsid w:val="00A81067"/>
    <w:rsid w:val="00A826B9"/>
    <w:rsid w:val="00A8473B"/>
    <w:rsid w:val="00A84973"/>
    <w:rsid w:val="00A85BB1"/>
    <w:rsid w:val="00A85D28"/>
    <w:rsid w:val="00A8653E"/>
    <w:rsid w:val="00AA0D25"/>
    <w:rsid w:val="00AA2F2F"/>
    <w:rsid w:val="00AA79C9"/>
    <w:rsid w:val="00AB4373"/>
    <w:rsid w:val="00AB6D1B"/>
    <w:rsid w:val="00AB6D84"/>
    <w:rsid w:val="00AC0CF1"/>
    <w:rsid w:val="00AC2E80"/>
    <w:rsid w:val="00AC3260"/>
    <w:rsid w:val="00AC4834"/>
    <w:rsid w:val="00AC5B9A"/>
    <w:rsid w:val="00AD2B40"/>
    <w:rsid w:val="00AD4199"/>
    <w:rsid w:val="00AE1BFE"/>
    <w:rsid w:val="00AE1D10"/>
    <w:rsid w:val="00AE4D8D"/>
    <w:rsid w:val="00AE6C79"/>
    <w:rsid w:val="00AE79AA"/>
    <w:rsid w:val="00AF1DED"/>
    <w:rsid w:val="00AF573E"/>
    <w:rsid w:val="00B11150"/>
    <w:rsid w:val="00B11412"/>
    <w:rsid w:val="00B124A8"/>
    <w:rsid w:val="00B1740D"/>
    <w:rsid w:val="00B2419A"/>
    <w:rsid w:val="00B33721"/>
    <w:rsid w:val="00B35A09"/>
    <w:rsid w:val="00B443D7"/>
    <w:rsid w:val="00B467B5"/>
    <w:rsid w:val="00B63876"/>
    <w:rsid w:val="00B6470C"/>
    <w:rsid w:val="00B6476A"/>
    <w:rsid w:val="00B648AD"/>
    <w:rsid w:val="00B71032"/>
    <w:rsid w:val="00B72A8B"/>
    <w:rsid w:val="00B73211"/>
    <w:rsid w:val="00B73B28"/>
    <w:rsid w:val="00B75600"/>
    <w:rsid w:val="00B815B7"/>
    <w:rsid w:val="00B84F3C"/>
    <w:rsid w:val="00B859A2"/>
    <w:rsid w:val="00B904BC"/>
    <w:rsid w:val="00B906FA"/>
    <w:rsid w:val="00B94737"/>
    <w:rsid w:val="00B94BDA"/>
    <w:rsid w:val="00B962C6"/>
    <w:rsid w:val="00BA16ED"/>
    <w:rsid w:val="00BB3D85"/>
    <w:rsid w:val="00BB6642"/>
    <w:rsid w:val="00BC0F60"/>
    <w:rsid w:val="00BC7271"/>
    <w:rsid w:val="00BC772A"/>
    <w:rsid w:val="00BD64F8"/>
    <w:rsid w:val="00BE05FF"/>
    <w:rsid w:val="00BE0D8B"/>
    <w:rsid w:val="00BE38BB"/>
    <w:rsid w:val="00BE5B50"/>
    <w:rsid w:val="00BF2C96"/>
    <w:rsid w:val="00BF7F65"/>
    <w:rsid w:val="00C0018A"/>
    <w:rsid w:val="00C00394"/>
    <w:rsid w:val="00C03208"/>
    <w:rsid w:val="00C0346B"/>
    <w:rsid w:val="00C07C29"/>
    <w:rsid w:val="00C120B8"/>
    <w:rsid w:val="00C14BB8"/>
    <w:rsid w:val="00C215C6"/>
    <w:rsid w:val="00C234FF"/>
    <w:rsid w:val="00C256B2"/>
    <w:rsid w:val="00C25BB0"/>
    <w:rsid w:val="00C2646E"/>
    <w:rsid w:val="00C30322"/>
    <w:rsid w:val="00C32A7D"/>
    <w:rsid w:val="00C32AEB"/>
    <w:rsid w:val="00C336D5"/>
    <w:rsid w:val="00C36BFC"/>
    <w:rsid w:val="00C4381D"/>
    <w:rsid w:val="00C43D1F"/>
    <w:rsid w:val="00C448B7"/>
    <w:rsid w:val="00C46B28"/>
    <w:rsid w:val="00C64360"/>
    <w:rsid w:val="00C6630D"/>
    <w:rsid w:val="00C70730"/>
    <w:rsid w:val="00C70F67"/>
    <w:rsid w:val="00C711D6"/>
    <w:rsid w:val="00C73A4D"/>
    <w:rsid w:val="00C76B1D"/>
    <w:rsid w:val="00C80479"/>
    <w:rsid w:val="00C81430"/>
    <w:rsid w:val="00C82F61"/>
    <w:rsid w:val="00C832BA"/>
    <w:rsid w:val="00C83776"/>
    <w:rsid w:val="00C84889"/>
    <w:rsid w:val="00C86738"/>
    <w:rsid w:val="00C86A70"/>
    <w:rsid w:val="00C90109"/>
    <w:rsid w:val="00C90EA1"/>
    <w:rsid w:val="00C9229E"/>
    <w:rsid w:val="00C922FF"/>
    <w:rsid w:val="00C923CA"/>
    <w:rsid w:val="00C96603"/>
    <w:rsid w:val="00CA14CA"/>
    <w:rsid w:val="00CA1593"/>
    <w:rsid w:val="00CA4173"/>
    <w:rsid w:val="00CA6576"/>
    <w:rsid w:val="00CB2713"/>
    <w:rsid w:val="00CB525B"/>
    <w:rsid w:val="00CC0789"/>
    <w:rsid w:val="00CC33EC"/>
    <w:rsid w:val="00CD524E"/>
    <w:rsid w:val="00CD5B1C"/>
    <w:rsid w:val="00CD6B95"/>
    <w:rsid w:val="00CE4864"/>
    <w:rsid w:val="00CF0346"/>
    <w:rsid w:val="00CF51BB"/>
    <w:rsid w:val="00CF6076"/>
    <w:rsid w:val="00CF7AE3"/>
    <w:rsid w:val="00D012DC"/>
    <w:rsid w:val="00D04736"/>
    <w:rsid w:val="00D049F7"/>
    <w:rsid w:val="00D123C4"/>
    <w:rsid w:val="00D13FE6"/>
    <w:rsid w:val="00D15962"/>
    <w:rsid w:val="00D22401"/>
    <w:rsid w:val="00D258E0"/>
    <w:rsid w:val="00D303BF"/>
    <w:rsid w:val="00D315EF"/>
    <w:rsid w:val="00D4556A"/>
    <w:rsid w:val="00D5669C"/>
    <w:rsid w:val="00D64480"/>
    <w:rsid w:val="00D70324"/>
    <w:rsid w:val="00D7175C"/>
    <w:rsid w:val="00D7619B"/>
    <w:rsid w:val="00D76C97"/>
    <w:rsid w:val="00D8243E"/>
    <w:rsid w:val="00D843D9"/>
    <w:rsid w:val="00D845A9"/>
    <w:rsid w:val="00D849F2"/>
    <w:rsid w:val="00D9085F"/>
    <w:rsid w:val="00DA26A2"/>
    <w:rsid w:val="00DA4895"/>
    <w:rsid w:val="00DB1400"/>
    <w:rsid w:val="00DC3DA1"/>
    <w:rsid w:val="00DC5AB4"/>
    <w:rsid w:val="00DC5E9E"/>
    <w:rsid w:val="00DC6DDA"/>
    <w:rsid w:val="00DD1F42"/>
    <w:rsid w:val="00DD4964"/>
    <w:rsid w:val="00DD6795"/>
    <w:rsid w:val="00DE3A4F"/>
    <w:rsid w:val="00DF0054"/>
    <w:rsid w:val="00DF0451"/>
    <w:rsid w:val="00DF05E8"/>
    <w:rsid w:val="00DF104C"/>
    <w:rsid w:val="00DF3B3F"/>
    <w:rsid w:val="00DF44A4"/>
    <w:rsid w:val="00DF64D3"/>
    <w:rsid w:val="00E00E98"/>
    <w:rsid w:val="00E015AD"/>
    <w:rsid w:val="00E10A4D"/>
    <w:rsid w:val="00E12008"/>
    <w:rsid w:val="00E14AEA"/>
    <w:rsid w:val="00E158A8"/>
    <w:rsid w:val="00E21D25"/>
    <w:rsid w:val="00E2352A"/>
    <w:rsid w:val="00E2759D"/>
    <w:rsid w:val="00E279A1"/>
    <w:rsid w:val="00E3334E"/>
    <w:rsid w:val="00E34925"/>
    <w:rsid w:val="00E4012B"/>
    <w:rsid w:val="00E41E8F"/>
    <w:rsid w:val="00E45E21"/>
    <w:rsid w:val="00E513F2"/>
    <w:rsid w:val="00E54EBC"/>
    <w:rsid w:val="00E602E0"/>
    <w:rsid w:val="00E64718"/>
    <w:rsid w:val="00E7277B"/>
    <w:rsid w:val="00E76DF4"/>
    <w:rsid w:val="00E81034"/>
    <w:rsid w:val="00E85300"/>
    <w:rsid w:val="00E87236"/>
    <w:rsid w:val="00E873CD"/>
    <w:rsid w:val="00E902F4"/>
    <w:rsid w:val="00E96094"/>
    <w:rsid w:val="00E97314"/>
    <w:rsid w:val="00EA394B"/>
    <w:rsid w:val="00EA50D5"/>
    <w:rsid w:val="00EB47D8"/>
    <w:rsid w:val="00EC088C"/>
    <w:rsid w:val="00EC26BC"/>
    <w:rsid w:val="00EC3DB8"/>
    <w:rsid w:val="00EC4D63"/>
    <w:rsid w:val="00EC5B87"/>
    <w:rsid w:val="00EC7A40"/>
    <w:rsid w:val="00ED4481"/>
    <w:rsid w:val="00ED6A0D"/>
    <w:rsid w:val="00EE7F88"/>
    <w:rsid w:val="00EF064E"/>
    <w:rsid w:val="00F01216"/>
    <w:rsid w:val="00F03376"/>
    <w:rsid w:val="00F0399F"/>
    <w:rsid w:val="00F07F53"/>
    <w:rsid w:val="00F2189C"/>
    <w:rsid w:val="00F230AE"/>
    <w:rsid w:val="00F24098"/>
    <w:rsid w:val="00F241EA"/>
    <w:rsid w:val="00F250EA"/>
    <w:rsid w:val="00F27F0D"/>
    <w:rsid w:val="00F32167"/>
    <w:rsid w:val="00F3286F"/>
    <w:rsid w:val="00F34488"/>
    <w:rsid w:val="00F357A9"/>
    <w:rsid w:val="00F42177"/>
    <w:rsid w:val="00F42A4C"/>
    <w:rsid w:val="00F442CF"/>
    <w:rsid w:val="00F447FF"/>
    <w:rsid w:val="00F47E33"/>
    <w:rsid w:val="00F546AD"/>
    <w:rsid w:val="00F5713A"/>
    <w:rsid w:val="00F5734B"/>
    <w:rsid w:val="00F61C3C"/>
    <w:rsid w:val="00F64944"/>
    <w:rsid w:val="00F67585"/>
    <w:rsid w:val="00F67B24"/>
    <w:rsid w:val="00F70346"/>
    <w:rsid w:val="00F72555"/>
    <w:rsid w:val="00F803B9"/>
    <w:rsid w:val="00F816AD"/>
    <w:rsid w:val="00F824FC"/>
    <w:rsid w:val="00F83F28"/>
    <w:rsid w:val="00F86D04"/>
    <w:rsid w:val="00F87D54"/>
    <w:rsid w:val="00F9061D"/>
    <w:rsid w:val="00F909E5"/>
    <w:rsid w:val="00F9189B"/>
    <w:rsid w:val="00F92A77"/>
    <w:rsid w:val="00F94886"/>
    <w:rsid w:val="00F97697"/>
    <w:rsid w:val="00F97F31"/>
    <w:rsid w:val="00FA4CCB"/>
    <w:rsid w:val="00FA62B3"/>
    <w:rsid w:val="00FB01EE"/>
    <w:rsid w:val="00FB05A8"/>
    <w:rsid w:val="00FC1138"/>
    <w:rsid w:val="00FC2E4C"/>
    <w:rsid w:val="00FC30B0"/>
    <w:rsid w:val="00FC4D64"/>
    <w:rsid w:val="00FC6423"/>
    <w:rsid w:val="00FD15F5"/>
    <w:rsid w:val="00FD306D"/>
    <w:rsid w:val="00FD4382"/>
    <w:rsid w:val="00FD61FC"/>
    <w:rsid w:val="00FE0BE4"/>
    <w:rsid w:val="00FE3037"/>
    <w:rsid w:val="00FF01C7"/>
    <w:rsid w:val="00FF3273"/>
    <w:rsid w:val="00FF3C02"/>
    <w:rsid w:val="00FF6B97"/>
    <w:rsid w:val="00FF6D97"/>
    <w:rsid w:val="00FF72D3"/>
    <w:rsid w:val="00FF79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F7C567-851A-4BA4-82E9-3D2B22F3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1EE"/>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B01EE"/>
    <w:pPr>
      <w:tabs>
        <w:tab w:val="center" w:pos="4419"/>
        <w:tab w:val="right" w:pos="8838"/>
      </w:tabs>
    </w:pPr>
    <w:rPr>
      <w:spacing w:val="20"/>
      <w:szCs w:val="20"/>
      <w:lang w:val="es-ES_tradnl"/>
    </w:rPr>
  </w:style>
  <w:style w:type="paragraph" w:styleId="Piedepgina">
    <w:name w:val="footer"/>
    <w:basedOn w:val="Normal"/>
    <w:semiHidden/>
    <w:rsid w:val="00FB01EE"/>
    <w:pPr>
      <w:tabs>
        <w:tab w:val="center" w:pos="4252"/>
        <w:tab w:val="right" w:pos="8504"/>
      </w:tabs>
    </w:pPr>
    <w:rPr>
      <w:rFonts w:ascii="Times New Roman" w:hAnsi="Times New Roman"/>
      <w:sz w:val="20"/>
      <w:szCs w:val="20"/>
    </w:rPr>
  </w:style>
  <w:style w:type="paragraph" w:styleId="Textodeglobo">
    <w:name w:val="Balloon Text"/>
    <w:basedOn w:val="Normal"/>
    <w:link w:val="TextodegloboCar"/>
    <w:uiPriority w:val="99"/>
    <w:semiHidden/>
    <w:unhideWhenUsed/>
    <w:rsid w:val="00577D07"/>
    <w:rPr>
      <w:rFonts w:ascii="Tahoma" w:hAnsi="Tahoma" w:cs="Tahoma"/>
      <w:sz w:val="16"/>
      <w:szCs w:val="16"/>
    </w:rPr>
  </w:style>
  <w:style w:type="character" w:customStyle="1" w:styleId="TextodegloboCar">
    <w:name w:val="Texto de globo Car"/>
    <w:link w:val="Textodeglobo"/>
    <w:uiPriority w:val="99"/>
    <w:semiHidden/>
    <w:rsid w:val="00577D07"/>
    <w:rPr>
      <w:rFonts w:ascii="Tahoma" w:hAnsi="Tahoma" w:cs="Tahoma"/>
      <w:sz w:val="16"/>
      <w:szCs w:val="16"/>
      <w:lang w:val="es-ES" w:eastAsia="es-ES"/>
    </w:rPr>
  </w:style>
  <w:style w:type="character" w:customStyle="1" w:styleId="EncabezadoCar">
    <w:name w:val="Encabezado Car"/>
    <w:link w:val="Encabezado"/>
    <w:semiHidden/>
    <w:rsid w:val="00663C99"/>
    <w:rPr>
      <w:rFonts w:ascii="Arial" w:hAnsi="Arial"/>
      <w:spacing w:val="20"/>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327951">
      <w:bodyDiv w:val="1"/>
      <w:marLeft w:val="0"/>
      <w:marRight w:val="0"/>
      <w:marTop w:val="0"/>
      <w:marBottom w:val="0"/>
      <w:divBdr>
        <w:top w:val="none" w:sz="0" w:space="0" w:color="auto"/>
        <w:left w:val="none" w:sz="0" w:space="0" w:color="auto"/>
        <w:bottom w:val="none" w:sz="0" w:space="0" w:color="auto"/>
        <w:right w:val="none" w:sz="0" w:space="0" w:color="auto"/>
      </w:divBdr>
    </w:div>
    <w:div w:id="11669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9CF83-CDDD-4E88-9F4E-95C5DA0DF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1097</Words>
  <Characters>6255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2009</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dc:title>
  <dc:creator>aelizalde</dc:creator>
  <cp:lastModifiedBy>SIMM</cp:lastModifiedBy>
  <cp:revision>2</cp:revision>
  <cp:lastPrinted>2019-08-05T15:03:00Z</cp:lastPrinted>
  <dcterms:created xsi:type="dcterms:W3CDTF">2025-10-07T17:54:00Z</dcterms:created>
  <dcterms:modified xsi:type="dcterms:W3CDTF">2025-10-07T17:54:00Z</dcterms:modified>
</cp:coreProperties>
</file>